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05" w:rsidRPr="00224D2A" w:rsidRDefault="0021711E" w:rsidP="0000340E">
      <w:pPr>
        <w:spacing w:before="0" w:beforeAutospacing="0" w:after="0" w:afterAutospacing="0"/>
        <w:rPr>
          <w:rFonts w:ascii="Franklin Gothic Book" w:hAnsi="Franklin Gothic Book"/>
          <w:i/>
          <w:color w:val="173472"/>
          <w:sz w:val="40"/>
          <w:szCs w:val="40"/>
          <w:lang w:val="es-AR"/>
        </w:rPr>
      </w:pPr>
      <w:r w:rsidRPr="0021711E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Kib</w:t>
      </w:r>
      <w:r w:rsidRPr="00224D2A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u</w:t>
      </w:r>
      <w:r w:rsidRPr="0021711E">
        <w:rPr>
          <w:rFonts w:ascii="Franklin Gothic Book" w:hAnsi="Franklin Gothic Book"/>
          <w:i/>
          <w:color w:val="173472"/>
          <w:sz w:val="40"/>
          <w:szCs w:val="40"/>
          <w:lang w:val="es-AR"/>
        </w:rPr>
        <w:t xml:space="preserve">tz </w:t>
      </w:r>
      <w:proofErr w:type="spellStart"/>
      <w:r w:rsidRPr="0021711E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galuiot</w:t>
      </w:r>
      <w:proofErr w:type="spellEnd"/>
      <w:r w:rsidR="00224D2A">
        <w:rPr>
          <w:rFonts w:ascii="Franklin Gothic Book" w:hAnsi="Franklin Gothic Book"/>
          <w:i/>
          <w:color w:val="173472"/>
          <w:sz w:val="40"/>
          <w:szCs w:val="40"/>
          <w:lang w:val="es-AR"/>
        </w:rPr>
        <w:t xml:space="preserve"> - </w:t>
      </w:r>
      <w:r w:rsidR="00224D2A" w:rsidRPr="00224D2A">
        <w:rPr>
          <w:rFonts w:ascii="FrnkGothITC Bk BT" w:hAnsi="FrnkGothITC Bk BT"/>
          <w:color w:val="173472"/>
          <w:sz w:val="40"/>
          <w:szCs w:val="40"/>
        </w:rPr>
        <w:t xml:space="preserve">Las </w:t>
      </w:r>
      <w:proofErr w:type="spellStart"/>
      <w:r w:rsidR="00224D2A" w:rsidRPr="00224D2A">
        <w:rPr>
          <w:rFonts w:ascii="FrnkGothITC Bk BT" w:hAnsi="FrnkGothITC Bk BT"/>
          <w:color w:val="173472"/>
          <w:sz w:val="40"/>
          <w:szCs w:val="40"/>
        </w:rPr>
        <w:t>aliot</w:t>
      </w:r>
      <w:proofErr w:type="spellEnd"/>
      <w:r w:rsidR="00224D2A" w:rsidRPr="00224D2A">
        <w:rPr>
          <w:rFonts w:ascii="FrnkGothITC Bk BT" w:hAnsi="FrnkGothITC Bk BT"/>
          <w:color w:val="173472"/>
          <w:sz w:val="40"/>
          <w:szCs w:val="40"/>
        </w:rPr>
        <w:t xml:space="preserve"> de los años ‘50 y los años ‘90</w:t>
      </w:r>
    </w:p>
    <w:p w:rsidR="0035109F" w:rsidRDefault="0035109F" w:rsidP="0035109F">
      <w:pPr>
        <w:spacing w:before="0" w:beforeAutospacing="0" w:after="0" w:afterAutospacing="0"/>
        <w:rPr>
          <w:rFonts w:ascii="FrnkGothITC Bk BT" w:hAnsi="FrnkGothITC Bk BT"/>
          <w:b/>
        </w:rPr>
      </w:pPr>
    </w:p>
    <w:p w:rsidR="0035109F" w:rsidRDefault="00D065D7" w:rsidP="0035109F">
      <w:pPr>
        <w:spacing w:before="0" w:beforeAutospacing="0" w:after="0" w:afterAutospacing="0"/>
        <w:rPr>
          <w:rFonts w:ascii="FrnkGothITC Bk BT" w:hAnsi="FrnkGothITC Bk BT"/>
          <w:b/>
          <w:sz w:val="26"/>
          <w:szCs w:val="26"/>
        </w:rPr>
      </w:pPr>
      <w:r w:rsidRPr="00D065D7">
        <w:rPr>
          <w:rFonts w:ascii="FrnkGothITC Bk BT" w:hAnsi="FrnkGothITC Bk BT"/>
          <w:b/>
          <w:sz w:val="26"/>
          <w:szCs w:val="26"/>
        </w:rPr>
        <w:t>Actividades</w:t>
      </w:r>
    </w:p>
    <w:p w:rsidR="00D065D7" w:rsidRPr="00D065D7" w:rsidRDefault="00D065D7" w:rsidP="0035109F">
      <w:pPr>
        <w:spacing w:before="0" w:beforeAutospacing="0" w:after="0" w:afterAutospacing="0"/>
        <w:rPr>
          <w:rFonts w:ascii="FrnkGothITC Bk BT" w:hAnsi="FrnkGothITC Bk BT"/>
          <w:b/>
          <w:sz w:val="26"/>
          <w:szCs w:val="26"/>
        </w:rPr>
      </w:pPr>
    </w:p>
    <w:p w:rsidR="0035109F" w:rsidRDefault="0035109F" w:rsidP="0035109F">
      <w:pPr>
        <w:pStyle w:val="Prrafodelista"/>
        <w:numPr>
          <w:ilvl w:val="0"/>
          <w:numId w:val="45"/>
        </w:numPr>
        <w:spacing w:before="0" w:beforeAutospacing="0" w:after="0" w:afterAutospacing="0"/>
        <w:rPr>
          <w:rFonts w:ascii="FrnkGothITC Bk BT" w:hAnsi="FrnkGothITC Bk BT"/>
          <w:lang w:val="es-ES"/>
        </w:rPr>
      </w:pPr>
      <w:r w:rsidRPr="00AD2699">
        <w:rPr>
          <w:rFonts w:ascii="FrnkGothITC Bk BT" w:hAnsi="FrnkGothITC Bk BT"/>
          <w:lang w:val="es-ES"/>
        </w:rPr>
        <w:t xml:space="preserve">Lean el material informativo correspondiente a las oleadas de </w:t>
      </w:r>
      <w:proofErr w:type="spellStart"/>
      <w:r w:rsidRPr="00AD2699">
        <w:rPr>
          <w:rFonts w:ascii="FrnkGothITC Bk BT" w:hAnsi="FrnkGothITC Bk BT"/>
          <w:i/>
          <w:iCs/>
          <w:lang w:val="es-ES"/>
        </w:rPr>
        <w:t>aliot</w:t>
      </w:r>
      <w:proofErr w:type="spellEnd"/>
      <w:r w:rsidRPr="00AD2699">
        <w:rPr>
          <w:rFonts w:ascii="FrnkGothITC Bk BT" w:hAnsi="FrnkGothITC Bk BT"/>
          <w:lang w:val="es-ES"/>
        </w:rPr>
        <w:t xml:space="preserve"> de los años ‘50 y ‘90.  </w:t>
      </w:r>
    </w:p>
    <w:p w:rsidR="00D065D7" w:rsidRPr="00D065D7" w:rsidRDefault="00D065D7" w:rsidP="00D065D7">
      <w:pPr>
        <w:spacing w:before="0" w:beforeAutospacing="0" w:after="0" w:afterAutospacing="0"/>
        <w:ind w:left="360"/>
        <w:rPr>
          <w:rFonts w:ascii="FrnkGothITC Bk BT" w:hAnsi="FrnkGothITC Bk BT"/>
        </w:rPr>
      </w:pPr>
    </w:p>
    <w:p w:rsidR="0035109F" w:rsidRDefault="0035109F" w:rsidP="0035109F">
      <w:pPr>
        <w:pStyle w:val="Prrafodelista"/>
        <w:numPr>
          <w:ilvl w:val="0"/>
          <w:numId w:val="45"/>
        </w:numPr>
        <w:spacing w:before="0" w:beforeAutospacing="0" w:after="0" w:afterAutospacing="0"/>
        <w:rPr>
          <w:rFonts w:ascii="FrnkGothITC Bk BT" w:hAnsi="FrnkGothITC Bk BT"/>
          <w:lang w:val="es-ES"/>
        </w:rPr>
      </w:pPr>
      <w:r w:rsidRPr="00AD2699">
        <w:rPr>
          <w:rFonts w:ascii="FrnkGothITC Bk BT" w:hAnsi="FrnkGothITC Bk BT"/>
          <w:lang w:val="es-ES"/>
        </w:rPr>
        <w:t>Con la información obtenida elaboren un cuadro comparativo de las dos oleadas.</w:t>
      </w:r>
    </w:p>
    <w:p w:rsidR="00D065D7" w:rsidRPr="00D065D7" w:rsidRDefault="00D065D7" w:rsidP="00D065D7">
      <w:pPr>
        <w:spacing w:before="0" w:beforeAutospacing="0" w:after="0" w:afterAutospacing="0"/>
        <w:rPr>
          <w:rFonts w:ascii="FrnkGothITC Bk BT" w:hAnsi="FrnkGothITC Bk BT"/>
        </w:rPr>
      </w:pPr>
    </w:p>
    <w:p w:rsidR="0035109F" w:rsidRPr="00AD2699" w:rsidRDefault="0035109F" w:rsidP="0035109F">
      <w:pPr>
        <w:pStyle w:val="Prrafodelista"/>
        <w:numPr>
          <w:ilvl w:val="0"/>
          <w:numId w:val="45"/>
        </w:numPr>
        <w:spacing w:before="0" w:beforeAutospacing="0" w:after="0" w:afterAutospacing="0"/>
        <w:rPr>
          <w:rFonts w:ascii="FrnkGothITC Bk BT" w:hAnsi="FrnkGothITC Bk BT"/>
          <w:lang w:val="es-ES"/>
        </w:rPr>
      </w:pPr>
      <w:r w:rsidRPr="00AD2699">
        <w:rPr>
          <w:rFonts w:ascii="FrnkGothITC Bk BT" w:hAnsi="FrnkGothITC Bk BT"/>
          <w:lang w:val="es-ES"/>
        </w:rPr>
        <w:t xml:space="preserve">Realicen una de las siguientes actividades:  </w:t>
      </w:r>
    </w:p>
    <w:p w:rsidR="0035109F" w:rsidRPr="00AD2699" w:rsidRDefault="0035109F" w:rsidP="00FC1437">
      <w:pPr>
        <w:pStyle w:val="Prrafodelista"/>
        <w:numPr>
          <w:ilvl w:val="0"/>
          <w:numId w:val="46"/>
        </w:numPr>
        <w:spacing w:before="0" w:beforeAutospacing="0" w:after="0" w:afterAutospacing="0"/>
        <w:ind w:left="1134"/>
        <w:rPr>
          <w:rFonts w:ascii="FrnkGothITC Bk BT" w:hAnsi="FrnkGothITC Bk BT"/>
          <w:lang w:val="es-ES"/>
        </w:rPr>
      </w:pPr>
      <w:r w:rsidRPr="00AD2699">
        <w:rPr>
          <w:rFonts w:ascii="FrnkGothITC Bk BT" w:hAnsi="FrnkGothITC Bk BT"/>
          <w:lang w:val="es-ES"/>
        </w:rPr>
        <w:t xml:space="preserve">Escriban una página del diario personal de un </w:t>
      </w:r>
      <w:r w:rsidRPr="00AD2699">
        <w:rPr>
          <w:rFonts w:ascii="FrnkGothITC Bk BT" w:hAnsi="FrnkGothITC Bk BT"/>
          <w:i/>
          <w:iCs/>
          <w:lang w:val="es-ES"/>
        </w:rPr>
        <w:t xml:space="preserve">olé </w:t>
      </w:r>
      <w:r w:rsidRPr="00AD2699">
        <w:rPr>
          <w:rFonts w:ascii="FrnkGothITC Bk BT" w:hAnsi="FrnkGothITC Bk BT"/>
          <w:lang w:val="es-ES"/>
        </w:rPr>
        <w:t xml:space="preserve">de cada una de las </w:t>
      </w:r>
      <w:proofErr w:type="spellStart"/>
      <w:r w:rsidRPr="00AD2699">
        <w:rPr>
          <w:rFonts w:ascii="FrnkGothITC Bk BT" w:hAnsi="FrnkGothITC Bk BT"/>
          <w:i/>
          <w:lang w:val="es-ES"/>
        </w:rPr>
        <w:t>aliot</w:t>
      </w:r>
      <w:proofErr w:type="spellEnd"/>
      <w:r w:rsidRPr="00AD2699">
        <w:rPr>
          <w:rFonts w:ascii="FrnkGothITC Bk BT" w:hAnsi="FrnkGothITC Bk BT"/>
          <w:i/>
          <w:lang w:val="es-ES"/>
        </w:rPr>
        <w:t>.</w:t>
      </w:r>
    </w:p>
    <w:p w:rsidR="0035109F" w:rsidRPr="00AD2699" w:rsidRDefault="0035109F" w:rsidP="00FC1437">
      <w:pPr>
        <w:pStyle w:val="Prrafodelista"/>
        <w:numPr>
          <w:ilvl w:val="0"/>
          <w:numId w:val="46"/>
        </w:numPr>
        <w:spacing w:before="0" w:beforeAutospacing="0" w:after="0" w:afterAutospacing="0"/>
        <w:ind w:left="1134"/>
        <w:rPr>
          <w:rFonts w:ascii="FrnkGothITC Bk BT" w:hAnsi="FrnkGothITC Bk BT"/>
          <w:lang w:val="es-ES"/>
        </w:rPr>
      </w:pPr>
      <w:r w:rsidRPr="00AD2699">
        <w:rPr>
          <w:rFonts w:ascii="FrnkGothITC Bk BT" w:hAnsi="FrnkGothITC Bk BT"/>
          <w:lang w:val="es-ES"/>
        </w:rPr>
        <w:t xml:space="preserve">Redacten una conversación factible entre un </w:t>
      </w:r>
      <w:r w:rsidRPr="00AD2699">
        <w:rPr>
          <w:rFonts w:ascii="FrnkGothITC Bk BT" w:hAnsi="FrnkGothITC Bk BT"/>
          <w:i/>
          <w:iCs/>
          <w:lang w:val="es-ES"/>
        </w:rPr>
        <w:t>olé</w:t>
      </w:r>
      <w:r w:rsidRPr="00AD2699">
        <w:rPr>
          <w:rFonts w:ascii="FrnkGothITC Bk BT" w:hAnsi="FrnkGothITC Bk BT"/>
          <w:lang w:val="es-ES"/>
        </w:rPr>
        <w:t xml:space="preserve"> de cada una de las oleadas con el representante de la </w:t>
      </w:r>
      <w:proofErr w:type="spellStart"/>
      <w:r w:rsidRPr="00AD2699">
        <w:rPr>
          <w:rFonts w:ascii="FrnkGothITC Bk BT" w:hAnsi="FrnkGothITC Bk BT"/>
          <w:i/>
          <w:iCs/>
          <w:lang w:val="es-ES"/>
        </w:rPr>
        <w:t>Sojnut</w:t>
      </w:r>
      <w:proofErr w:type="spellEnd"/>
      <w:r w:rsidRPr="00AD2699">
        <w:rPr>
          <w:rFonts w:ascii="FrnkGothITC Bk BT" w:hAnsi="FrnkGothITC Bk BT"/>
          <w:lang w:val="es-ES"/>
        </w:rPr>
        <w:t xml:space="preserve"> - Agencia judía, que se ocupa de su </w:t>
      </w:r>
      <w:proofErr w:type="spellStart"/>
      <w:r w:rsidRPr="00AD2699">
        <w:rPr>
          <w:rFonts w:ascii="FrnkGothITC Bk BT" w:hAnsi="FrnkGothITC Bk BT"/>
          <w:i/>
          <w:iCs/>
          <w:lang w:val="es-ES"/>
        </w:rPr>
        <w:t>klitá</w:t>
      </w:r>
      <w:proofErr w:type="spellEnd"/>
      <w:r w:rsidRPr="00AD2699">
        <w:rPr>
          <w:rFonts w:ascii="FrnkGothITC Bk BT" w:hAnsi="FrnkGothITC Bk BT"/>
          <w:lang w:val="es-ES"/>
        </w:rPr>
        <w:t>- absorción.</w:t>
      </w:r>
    </w:p>
    <w:p w:rsidR="0035109F" w:rsidRP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lang w:val="es-ES"/>
        </w:rPr>
      </w:pPr>
    </w:p>
    <w:p w:rsidR="0035109F" w:rsidRPr="0035109F" w:rsidRDefault="003A792E" w:rsidP="0035109F">
      <w:pPr>
        <w:spacing w:before="0" w:beforeAutospacing="0" w:after="0" w:afterAutospacing="0"/>
        <w:rPr>
          <w:rFonts w:ascii="FrnkGothITC Bk BT" w:hAnsi="FrnkGothITC Bk BT"/>
        </w:rPr>
      </w:pPr>
      <w:r>
        <w:rPr>
          <w:rFonts w:ascii="FrnkGothITC Bk BT" w:hAnsi="FrnkGothITC Bk BT"/>
          <w:noProof/>
          <w:lang w:eastAsia="es-ES"/>
        </w:rPr>
        <w:pict>
          <v:rect id="_x0000_s1089" style="position:absolute;margin-left:21.8pt;margin-top:6.15pt;width:477pt;height:490.55pt;z-index:-251658240"/>
        </w:pict>
      </w:r>
    </w:p>
    <w:p w:rsidR="0035109F" w:rsidRPr="0035109F" w:rsidRDefault="0035109F" w:rsidP="0035109F">
      <w:pPr>
        <w:spacing w:before="0" w:beforeAutospacing="0" w:after="0" w:afterAutospacing="0"/>
        <w:rPr>
          <w:rFonts w:ascii="FrnkGothITC Bk BT" w:hAnsi="FrnkGothITC Bk BT"/>
        </w:rPr>
      </w:pPr>
    </w:p>
    <w:p w:rsidR="0035109F" w:rsidRPr="0035109F" w:rsidRDefault="003A792E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lang w:val="es-ES"/>
        </w:rPr>
      </w:pPr>
      <w:r w:rsidRPr="003A792E">
        <w:rPr>
          <w:rFonts w:ascii="FrnkGothITC Bk BT" w:hAnsi="FrnkGothITC Bk BT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35.9pt;margin-top:3.75pt;width:447.9pt;height:392.2pt;z-index:251660288;mso-width-relative:margin;mso-height-relative:margin" stroked="f">
            <v:textbox>
              <w:txbxContent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  <w:r w:rsidRPr="00995AD8">
                    <w:rPr>
                      <w:rFonts w:ascii="Times New Roman" w:hAnsi="Times New Roman" w:cs="Times New Roman"/>
                    </w:rPr>
                    <w:t>.……………………………………………………………………………………………………</w:t>
                  </w: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Pr="00995AD8" w:rsidRDefault="0035109F" w:rsidP="0035109F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</w:rPr>
                  </w:pPr>
                </w:p>
                <w:p w:rsidR="0035109F" w:rsidRDefault="0035109F"/>
              </w:txbxContent>
            </v:textbox>
          </v:shape>
        </w:pict>
      </w: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lang w:val="es-ES"/>
        </w:rPr>
      </w:pPr>
    </w:p>
    <w:p w:rsidR="002311B6" w:rsidRDefault="002311B6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sz w:val="24"/>
          <w:szCs w:val="24"/>
          <w:lang w:val="es-ES"/>
        </w:rPr>
      </w:pPr>
    </w:p>
    <w:p w:rsidR="002311B6" w:rsidRDefault="002311B6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sz w:val="24"/>
          <w:szCs w:val="24"/>
          <w:lang w:val="es-ES"/>
        </w:rPr>
      </w:pPr>
    </w:p>
    <w:p w:rsidR="0035109F" w:rsidRPr="008C3A8C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b/>
          <w:bCs/>
          <w:sz w:val="24"/>
          <w:szCs w:val="24"/>
          <w:lang w:val="es-ES"/>
        </w:rPr>
      </w:pPr>
      <w:r w:rsidRPr="008C3A8C">
        <w:rPr>
          <w:rFonts w:ascii="FrnkGothITC Bk BT" w:hAnsi="FrnkGothITC Bk BT"/>
          <w:b/>
          <w:bCs/>
          <w:sz w:val="24"/>
          <w:szCs w:val="24"/>
          <w:lang w:val="es-ES"/>
        </w:rPr>
        <w:lastRenderedPageBreak/>
        <w:t xml:space="preserve">La gran </w:t>
      </w:r>
      <w:proofErr w:type="spellStart"/>
      <w:r w:rsidRPr="008C3A8C">
        <w:rPr>
          <w:rFonts w:ascii="FrnkGothITC Bk BT" w:hAnsi="FrnkGothITC Bk BT"/>
          <w:b/>
          <w:bCs/>
          <w:i/>
          <w:iCs/>
          <w:sz w:val="24"/>
          <w:szCs w:val="24"/>
          <w:lang w:val="es-ES"/>
        </w:rPr>
        <w:t>aliá</w:t>
      </w:r>
      <w:proofErr w:type="spellEnd"/>
      <w:r w:rsidRPr="008C3A8C">
        <w:rPr>
          <w:rFonts w:ascii="FrnkGothITC Bk BT" w:hAnsi="FrnkGothITC Bk BT"/>
          <w:b/>
          <w:bCs/>
          <w:sz w:val="24"/>
          <w:szCs w:val="24"/>
          <w:lang w:val="es-ES"/>
        </w:rPr>
        <w:t xml:space="preserve"> de los años ‘</w:t>
      </w:r>
      <w:bookmarkStart w:id="0" w:name="_GoBack"/>
      <w:bookmarkEnd w:id="0"/>
      <w:r w:rsidRPr="008C3A8C">
        <w:rPr>
          <w:rFonts w:ascii="FrnkGothITC Bk BT" w:hAnsi="FrnkGothITC Bk BT"/>
          <w:b/>
          <w:bCs/>
          <w:sz w:val="24"/>
          <w:szCs w:val="24"/>
          <w:lang w:val="es-ES"/>
        </w:rPr>
        <w:t>50</w:t>
      </w:r>
    </w:p>
    <w:p w:rsidR="0035109F" w:rsidRP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lang w:val="es-ES"/>
        </w:rPr>
      </w:pPr>
      <w:r w:rsidRPr="0035109F">
        <w:rPr>
          <w:rFonts w:ascii="FrnkGothITC Bk BT" w:hAnsi="FrnkGothITC Bk BT"/>
          <w:lang w:val="es-ES"/>
        </w:rPr>
        <w:t>Material informativo</w:t>
      </w:r>
    </w:p>
    <w:p w:rsidR="0035109F" w:rsidRP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lang w:val="es-ES"/>
        </w:rPr>
      </w:pPr>
    </w:p>
    <w:p w:rsidR="0035109F" w:rsidRP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lang w:val="es-ES"/>
        </w:rPr>
      </w:pPr>
      <w:r w:rsidRPr="0035109F">
        <w:rPr>
          <w:rFonts w:ascii="FrnkGothITC Bk BT" w:hAnsi="FrnkGothITC Bk BT"/>
          <w:lang w:val="es-ES"/>
        </w:rPr>
        <w:t xml:space="preserve">Entre 1948 y 1951 llegaron 688.000 </w:t>
      </w:r>
      <w:proofErr w:type="spellStart"/>
      <w:r w:rsidRPr="0035109F">
        <w:rPr>
          <w:rFonts w:ascii="FrnkGothITC Bk BT" w:hAnsi="FrnkGothITC Bk BT"/>
          <w:i/>
          <w:iCs/>
          <w:lang w:val="es-ES"/>
        </w:rPr>
        <w:t>olim</w:t>
      </w:r>
      <w:proofErr w:type="spellEnd"/>
      <w:r w:rsidRPr="0035109F">
        <w:rPr>
          <w:rFonts w:ascii="FrnkGothITC Bk BT" w:hAnsi="FrnkGothITC Bk BT"/>
          <w:lang w:val="es-ES"/>
        </w:rPr>
        <w:t xml:space="preserve">, cifra que llevó a duplicar la población judía del país. Muchos provenían de la Europa liberada, habían estado en campamentos de refugiados de guerra y sus comunidades de origen estaban destruidas. Una gran cantidad de inmigrantes llegaron de los países árabes de África y del Medio Oriente (Yemen, Irak, Marruecos, Túnez e Irán), en donde corrían peligro, ya que habían comenzado a ser perseguidos tras el establecimiento del Estado judío. A diferencia de las </w:t>
      </w:r>
      <w:proofErr w:type="spellStart"/>
      <w:r w:rsidRPr="0035109F">
        <w:rPr>
          <w:rFonts w:ascii="FrnkGothITC Bk BT" w:hAnsi="FrnkGothITC Bk BT"/>
          <w:i/>
          <w:iCs/>
          <w:lang w:val="es-ES"/>
        </w:rPr>
        <w:t>aliot</w:t>
      </w:r>
      <w:proofErr w:type="spellEnd"/>
      <w:r w:rsidRPr="0035109F">
        <w:rPr>
          <w:rFonts w:ascii="FrnkGothITC Bk BT" w:hAnsi="FrnkGothITC Bk BT"/>
          <w:lang w:val="es-ES"/>
        </w:rPr>
        <w:t xml:space="preserve"> previas a 1948, que llegaron desde Europa, la cultura de los nuevos inmigrantes era desconocida para los antiguos  </w:t>
      </w:r>
      <w:proofErr w:type="spellStart"/>
      <w:r w:rsidRPr="0035109F">
        <w:rPr>
          <w:rFonts w:ascii="FrnkGothITC Bk BT" w:hAnsi="FrnkGothITC Bk BT"/>
          <w:i/>
          <w:iCs/>
          <w:lang w:val="es-ES"/>
        </w:rPr>
        <w:t>olim</w:t>
      </w:r>
      <w:proofErr w:type="spellEnd"/>
      <w:r w:rsidRPr="0035109F">
        <w:rPr>
          <w:rFonts w:ascii="FrnkGothITC Bk BT" w:hAnsi="FrnkGothITC Bk BT"/>
          <w:lang w:val="es-ES"/>
        </w:rPr>
        <w:t xml:space="preserve"> y los ciudadanos de Israel.</w:t>
      </w:r>
    </w:p>
    <w:p w:rsidR="0035109F" w:rsidRP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strike/>
          <w:lang w:val="es-ES"/>
        </w:rPr>
      </w:pPr>
    </w:p>
    <w:p w:rsidR="0035109F" w:rsidRP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lang w:val="es-ES"/>
        </w:rPr>
      </w:pPr>
      <w:r w:rsidRPr="0035109F">
        <w:rPr>
          <w:rFonts w:ascii="FrnkGothITC Bk BT" w:hAnsi="FrnkGothITC Bk BT"/>
          <w:lang w:val="es-ES"/>
        </w:rPr>
        <w:t xml:space="preserve">Ningún Estado del mundo, y obviamente tampoco el recién nacido Estado de Israel, podría hacer frente con facilidad a una inmigración de tal tamaño en un tiempo tan corto. Junto con la alegría que supuso acoger a esos hermanos judíos se plantearon para la </w:t>
      </w:r>
      <w:proofErr w:type="spellStart"/>
      <w:r w:rsidRPr="0035109F">
        <w:rPr>
          <w:rFonts w:ascii="FrnkGothITC Bk BT" w:hAnsi="FrnkGothITC Bk BT"/>
          <w:i/>
          <w:lang w:val="es-ES"/>
        </w:rPr>
        <w:t>Mediná</w:t>
      </w:r>
      <w:proofErr w:type="spellEnd"/>
      <w:r w:rsidRPr="0035109F">
        <w:rPr>
          <w:rFonts w:ascii="FrnkGothITC Bk BT" w:hAnsi="FrnkGothITC Bk BT"/>
          <w:lang w:val="es-ES"/>
        </w:rPr>
        <w:t xml:space="preserve"> enormes dificultades.  </w:t>
      </w:r>
    </w:p>
    <w:p w:rsidR="0035109F" w:rsidRP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lang w:val="es-ES"/>
        </w:rPr>
      </w:pPr>
    </w:p>
    <w:p w:rsidR="0035109F" w:rsidRPr="0035109F" w:rsidRDefault="0035109F" w:rsidP="0035109F">
      <w:pPr>
        <w:spacing w:before="0" w:beforeAutospacing="0" w:after="0" w:afterAutospacing="0"/>
        <w:ind w:left="57"/>
        <w:rPr>
          <w:rFonts w:ascii="FrnkGothITC Bk BT" w:hAnsi="FrnkGothITC Bk BT"/>
        </w:rPr>
      </w:pPr>
      <w:r w:rsidRPr="0035109F">
        <w:rPr>
          <w:rFonts w:ascii="FrnkGothITC Bk BT" w:hAnsi="FrnkGothITC Bk BT"/>
        </w:rPr>
        <w:t>Además, cuando finalizó la Guerra de la Independencia (1949), el país atravesaba una seria crisis económica. Para hacer frente a este enorme desafío, Israel debió solicitar préstamos a países amigos y estableció un régimen económico de austeridad- conocido como “</w:t>
      </w:r>
      <w:proofErr w:type="spellStart"/>
      <w:r w:rsidRPr="0035109F">
        <w:rPr>
          <w:rFonts w:ascii="FrnkGothITC Bk BT" w:hAnsi="FrnkGothITC Bk BT"/>
          <w:i/>
          <w:iCs/>
        </w:rPr>
        <w:t>tzena</w:t>
      </w:r>
      <w:proofErr w:type="spellEnd"/>
      <w:r w:rsidRPr="0035109F">
        <w:rPr>
          <w:rFonts w:ascii="FrnkGothITC Bk BT" w:hAnsi="FrnkGothITC Bk BT"/>
        </w:rPr>
        <w:t>”-, por lo cual se asignaron fondos limitados para alimentos y ropa para todos los habitantes del país.</w:t>
      </w:r>
    </w:p>
    <w:p w:rsidR="0035109F" w:rsidRPr="0035109F" w:rsidRDefault="0035109F" w:rsidP="0035109F">
      <w:pPr>
        <w:pStyle w:val="Prrafodelista"/>
        <w:spacing w:before="0" w:beforeAutospacing="0" w:after="0" w:afterAutospacing="0" w:line="240" w:lineRule="auto"/>
        <w:ind w:left="57"/>
        <w:rPr>
          <w:rFonts w:ascii="FrnkGothITC Bk BT" w:hAnsi="FrnkGothITC Bk BT"/>
          <w:lang w:val="es-ES"/>
        </w:rPr>
      </w:pPr>
    </w:p>
    <w:p w:rsidR="0035109F" w:rsidRPr="0035109F" w:rsidRDefault="0035109F" w:rsidP="0035109F">
      <w:pPr>
        <w:pStyle w:val="Default"/>
        <w:ind w:left="57" w:right="57"/>
        <w:rPr>
          <w:rFonts w:ascii="FrnkGothITC Bk BT" w:hAnsi="FrnkGothITC Bk BT"/>
          <w:color w:val="auto"/>
          <w:sz w:val="22"/>
          <w:szCs w:val="22"/>
        </w:rPr>
      </w:pPr>
      <w:r w:rsidRPr="0035109F">
        <w:rPr>
          <w:rFonts w:ascii="FrnkGothITC Bk BT" w:hAnsi="FrnkGothITC Bk BT"/>
          <w:color w:val="auto"/>
          <w:sz w:val="22"/>
          <w:szCs w:val="22"/>
        </w:rPr>
        <w:t>Muchos de los inmigrantes que llegaron en esos tiempos padecían  problemas de salud y necesitaban atención especial para recuperarse. La mayoría llegó sin recursos materiales ni medios de subsistencia y no tenían la preparación profesional que por entonces se necesitaba en Israel.</w:t>
      </w:r>
    </w:p>
    <w:p w:rsidR="0035109F" w:rsidRPr="0035109F" w:rsidRDefault="0035109F" w:rsidP="0035109F">
      <w:pPr>
        <w:pStyle w:val="Default"/>
        <w:ind w:left="57" w:right="57"/>
        <w:rPr>
          <w:rFonts w:ascii="FrnkGothITC Bk BT" w:hAnsi="FrnkGothITC Bk BT"/>
          <w:color w:val="auto"/>
          <w:sz w:val="22"/>
          <w:szCs w:val="22"/>
        </w:rPr>
      </w:pPr>
    </w:p>
    <w:p w:rsidR="0035109F" w:rsidRPr="0035109F" w:rsidRDefault="0035109F" w:rsidP="0035109F">
      <w:pPr>
        <w:spacing w:before="0" w:beforeAutospacing="0" w:after="0" w:afterAutospacing="0"/>
        <w:ind w:left="57"/>
        <w:rPr>
          <w:rFonts w:ascii="FrnkGothITC Bk BT" w:hAnsi="FrnkGothITC Bk BT"/>
        </w:rPr>
      </w:pPr>
      <w:r w:rsidRPr="0035109F">
        <w:rPr>
          <w:rFonts w:ascii="FrnkGothITC Bk BT" w:hAnsi="FrnkGothITC Bk BT"/>
        </w:rPr>
        <w:t xml:space="preserve">Para absorber a los </w:t>
      </w:r>
      <w:proofErr w:type="spellStart"/>
      <w:r w:rsidRPr="0035109F">
        <w:rPr>
          <w:rFonts w:ascii="FrnkGothITC Bk BT" w:hAnsi="FrnkGothITC Bk BT"/>
          <w:i/>
          <w:iCs/>
        </w:rPr>
        <w:t>olim</w:t>
      </w:r>
      <w:proofErr w:type="spellEnd"/>
      <w:r w:rsidRPr="0035109F">
        <w:rPr>
          <w:rFonts w:ascii="FrnkGothITC Bk BT" w:hAnsi="FrnkGothITC Bk BT"/>
        </w:rPr>
        <w:t xml:space="preserve">, además de enseñarles el idioma hebreo, fue necesario resolver dos cuestiones fundamentales: la vivienda y el trabajo. </w:t>
      </w:r>
    </w:p>
    <w:p w:rsidR="0035109F" w:rsidRPr="0035109F" w:rsidRDefault="0035109F" w:rsidP="0035109F">
      <w:pPr>
        <w:spacing w:before="0" w:beforeAutospacing="0" w:after="0" w:afterAutospacing="0"/>
        <w:ind w:left="57"/>
        <w:rPr>
          <w:rFonts w:ascii="FrnkGothITC Bk BT" w:hAnsi="FrnkGothITC Bk BT"/>
        </w:rPr>
      </w:pPr>
    </w:p>
    <w:p w:rsidR="0035109F" w:rsidRPr="0035109F" w:rsidRDefault="0035109F" w:rsidP="0035109F">
      <w:pPr>
        <w:spacing w:before="0" w:beforeAutospacing="0" w:after="0" w:afterAutospacing="0"/>
        <w:ind w:left="57"/>
        <w:rPr>
          <w:rFonts w:ascii="FrnkGothITC Bk BT" w:hAnsi="FrnkGothITC Bk BT"/>
        </w:rPr>
      </w:pPr>
      <w:r w:rsidRPr="0035109F">
        <w:rPr>
          <w:rFonts w:ascii="FrnkGothITC Bk BT" w:hAnsi="FrnkGothITC Bk BT"/>
        </w:rPr>
        <w:t xml:space="preserve">Ante la falta de viviendas disponibles para todos, la mayoría de los inmigrantes fueron ubicados en </w:t>
      </w:r>
      <w:proofErr w:type="spellStart"/>
      <w:r w:rsidRPr="0035109F">
        <w:rPr>
          <w:rFonts w:ascii="FrnkGothITC Bk BT" w:hAnsi="FrnkGothITC Bk BT"/>
          <w:b/>
          <w:bCs/>
          <w:i/>
          <w:iCs/>
        </w:rPr>
        <w:t>maabarot</w:t>
      </w:r>
      <w:proofErr w:type="spellEnd"/>
      <w:r w:rsidRPr="0035109F">
        <w:rPr>
          <w:rFonts w:ascii="FrnkGothITC Bk BT" w:hAnsi="FrnkGothITC Bk BT"/>
          <w:i/>
          <w:iCs/>
        </w:rPr>
        <w:t xml:space="preserve">, </w:t>
      </w:r>
      <w:r w:rsidRPr="0035109F">
        <w:rPr>
          <w:rFonts w:ascii="FrnkGothITC Bk BT" w:hAnsi="FrnkGothITC Bk BT"/>
        </w:rPr>
        <w:t xml:space="preserve">“barrios transitorios”, donde habitaron en casas de madera o chapa e incluso en carpas y chozas de tela. Dada la precariedad de estas viviendas y de los servicios, las condiciones de vida en las </w:t>
      </w:r>
      <w:proofErr w:type="spellStart"/>
      <w:r w:rsidRPr="0035109F">
        <w:rPr>
          <w:rFonts w:ascii="FrnkGothITC Bk BT" w:hAnsi="FrnkGothITC Bk BT"/>
          <w:i/>
          <w:iCs/>
        </w:rPr>
        <w:t>maabarot</w:t>
      </w:r>
      <w:proofErr w:type="spellEnd"/>
      <w:r w:rsidRPr="0035109F">
        <w:rPr>
          <w:rFonts w:ascii="FrnkGothITC Bk BT" w:hAnsi="FrnkGothITC Bk BT"/>
          <w:i/>
          <w:iCs/>
        </w:rPr>
        <w:t xml:space="preserve"> </w:t>
      </w:r>
      <w:r w:rsidRPr="0035109F">
        <w:rPr>
          <w:rFonts w:ascii="FrnkGothITC Bk BT" w:hAnsi="FrnkGothITC Bk BT"/>
        </w:rPr>
        <w:t xml:space="preserve">eran muy duras. </w:t>
      </w:r>
    </w:p>
    <w:p w:rsidR="0035109F" w:rsidRPr="0035109F" w:rsidRDefault="0035109F" w:rsidP="0035109F">
      <w:pPr>
        <w:spacing w:before="0" w:beforeAutospacing="0" w:after="0" w:afterAutospacing="0"/>
        <w:ind w:left="57"/>
        <w:rPr>
          <w:rFonts w:ascii="FrnkGothITC Bk BT" w:hAnsi="FrnkGothITC Bk BT"/>
        </w:rPr>
      </w:pPr>
      <w:r w:rsidRPr="0035109F">
        <w:rPr>
          <w:rFonts w:ascii="FrnkGothITC Bk BT" w:hAnsi="FrnkGothITC Bk BT"/>
        </w:rPr>
        <w:t xml:space="preserve">Con el tiempo, los inmigrantes fueron incorporándose a las ciudades y las </w:t>
      </w:r>
      <w:proofErr w:type="spellStart"/>
      <w:r w:rsidRPr="0035109F">
        <w:rPr>
          <w:rFonts w:ascii="FrnkGothITC Bk BT" w:hAnsi="FrnkGothITC Bk BT"/>
          <w:i/>
          <w:iCs/>
        </w:rPr>
        <w:t>maabarot</w:t>
      </w:r>
      <w:proofErr w:type="spellEnd"/>
      <w:r w:rsidRPr="0035109F">
        <w:rPr>
          <w:rFonts w:ascii="FrnkGothITC Bk BT" w:hAnsi="FrnkGothITC Bk BT"/>
          <w:i/>
          <w:iCs/>
        </w:rPr>
        <w:t xml:space="preserve"> </w:t>
      </w:r>
      <w:r w:rsidRPr="0035109F">
        <w:rPr>
          <w:rFonts w:ascii="FrnkGothITC Bk BT" w:hAnsi="FrnkGothITC Bk BT"/>
        </w:rPr>
        <w:t>fueron desapareciendo. La última de ellas fue clausurada en 1963.</w:t>
      </w: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2311B6" w:rsidP="0035109F">
      <w:pPr>
        <w:spacing w:before="0" w:beforeAutospacing="0" w:after="0" w:afterAutospacing="0"/>
        <w:rPr>
          <w:rFonts w:ascii="FrnkGothITC Bk BT" w:hAnsi="FrnkGothITC Bk BT"/>
          <w:bCs/>
        </w:rPr>
      </w:pPr>
      <w:r>
        <w:rPr>
          <w:rFonts w:ascii="FrnkGothITC Bk BT" w:hAnsi="FrnkGothITC Bk BT"/>
          <w:bCs/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391160</wp:posOffset>
            </wp:positionH>
            <wp:positionV relativeFrom="margin">
              <wp:posOffset>5850255</wp:posOffset>
            </wp:positionV>
            <wp:extent cx="2428875" cy="2428875"/>
            <wp:effectExtent l="19050" t="0" r="9525" b="0"/>
            <wp:wrapSquare wrapText="bothSides"/>
            <wp:docPr id="15" name="Imagen 7" descr="https://upload.wikimedia.org/wikipedia/commons/a/ad/Yemenites_at_Rosh_Haay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a/ad/Yemenites_at_Rosh_Haay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699">
        <w:rPr>
          <w:rFonts w:ascii="FrnkGothITC Bk BT" w:hAnsi="FrnkGothITC Bk BT"/>
          <w:bCs/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2952750</wp:posOffset>
            </wp:positionH>
            <wp:positionV relativeFrom="margin">
              <wp:posOffset>5849620</wp:posOffset>
            </wp:positionV>
            <wp:extent cx="3011805" cy="2428875"/>
            <wp:effectExtent l="19050" t="0" r="0" b="0"/>
            <wp:wrapSquare wrapText="bothSides"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2311B6" w:rsidRDefault="002311B6" w:rsidP="008C3A8C">
      <w:pPr>
        <w:pStyle w:val="Prrafodelista"/>
        <w:spacing w:before="0" w:beforeAutospacing="0" w:after="0" w:afterAutospacing="0" w:line="240" w:lineRule="auto"/>
        <w:ind w:left="0"/>
        <w:rPr>
          <w:rFonts w:ascii="FrnkGothITC Bk BT" w:hAnsi="FrnkGothITC Bk BT"/>
          <w:b/>
          <w:bCs/>
          <w:sz w:val="24"/>
          <w:szCs w:val="24"/>
          <w:lang w:val="es-ES"/>
        </w:rPr>
      </w:pPr>
      <w:r>
        <w:rPr>
          <w:rFonts w:ascii="FrnkGothITC Bk BT" w:hAnsi="FrnkGothITC Bk BT"/>
          <w:bCs/>
          <w:noProof/>
          <w:lang w:eastAsia="es-ES"/>
        </w:rPr>
        <w:pict>
          <v:shape id="_x0000_s1094" type="#_x0000_t202" style="position:absolute;margin-left:232.2pt;margin-top:6.85pt;width:130.95pt;height:32pt;z-index:251668480;mso-height-percent:200;mso-height-percent:200;mso-width-relative:margin;mso-height-relative:margin" stroked="f">
            <v:textbox style="mso-fit-shape-to-text:t">
              <w:txbxContent>
                <w:p w:rsidR="008C3A8C" w:rsidRPr="008C3A8C" w:rsidRDefault="008C3A8C" w:rsidP="008C3A8C">
                  <w:pPr>
                    <w:rPr>
                      <w:rFonts w:ascii="FrnkGothITC Bk BT" w:hAnsi="FrnkGothITC Bk BT"/>
                      <w:color w:val="002060"/>
                      <w:sz w:val="18"/>
                      <w:szCs w:val="18"/>
                      <w:lang w:val="fr-FR"/>
                    </w:rPr>
                  </w:pPr>
                  <w:proofErr w:type="spellStart"/>
                  <w:r w:rsidRPr="008C3A8C">
                    <w:rPr>
                      <w:rFonts w:ascii="FrnkGothITC Bk BT" w:hAnsi="FrnkGothITC Bk BT"/>
                      <w:i/>
                      <w:color w:val="002060"/>
                      <w:sz w:val="18"/>
                      <w:szCs w:val="18"/>
                      <w:lang w:val="fr-FR" w:bidi="he-IL"/>
                    </w:rPr>
                    <w:t>Maabaráot</w:t>
                  </w:r>
                  <w:proofErr w:type="spellEnd"/>
                  <w:r w:rsidRPr="008C3A8C">
                    <w:rPr>
                      <w:rFonts w:ascii="FrnkGothITC Bk BT" w:hAnsi="FrnkGothITC Bk BT"/>
                      <w:i/>
                      <w:color w:val="002060"/>
                      <w:sz w:val="18"/>
                      <w:szCs w:val="18"/>
                      <w:lang w:val="fr-FR" w:bidi="he-IL"/>
                    </w:rPr>
                    <w:t xml:space="preserve"> </w:t>
                  </w:r>
                  <w:r w:rsidRPr="008C3A8C">
                    <w:rPr>
                      <w:rFonts w:ascii="FrnkGothITC Bk BT" w:hAnsi="FrnkGothITC Bk BT"/>
                      <w:color w:val="002060"/>
                      <w:sz w:val="18"/>
                      <w:szCs w:val="18"/>
                      <w:lang w:val="fr-FR" w:bidi="he-IL"/>
                    </w:rPr>
                    <w:t xml:space="preserve">en </w:t>
                  </w:r>
                  <w:proofErr w:type="spellStart"/>
                  <w:r w:rsidRPr="008C3A8C">
                    <w:rPr>
                      <w:rFonts w:ascii="FrnkGothITC Bk BT" w:hAnsi="FrnkGothITC Bk BT"/>
                      <w:color w:val="002060"/>
                      <w:sz w:val="18"/>
                      <w:szCs w:val="18"/>
                      <w:lang w:val="fr-FR" w:bidi="he-IL"/>
                    </w:rPr>
                    <w:t>Jolón</w:t>
                  </w:r>
                  <w:proofErr w:type="spellEnd"/>
                  <w:r w:rsidRPr="008C3A8C">
                    <w:rPr>
                      <w:rFonts w:ascii="FrnkGothITC Bk BT" w:hAnsi="FrnkGothITC Bk BT"/>
                      <w:color w:val="002060"/>
                      <w:sz w:val="18"/>
                      <w:szCs w:val="18"/>
                      <w:lang w:val="fr-FR" w:bidi="he-I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FrnkGothITC Bk BT" w:hAnsi="FrnkGothITC Bk BT"/>
          <w:bCs/>
          <w:noProof/>
        </w:rPr>
        <w:pict>
          <v:shape id="_x0000_s1093" type="#_x0000_t202" style="position:absolute;margin-left:31.8pt;margin-top:6.85pt;width:130.95pt;height:42.8pt;z-index:251664384;mso-height-percent:200;mso-height-percent:200;mso-width-relative:margin;mso-height-relative:margin" stroked="f">
            <v:textbox style="mso-fit-shape-to-text:t">
              <w:txbxContent>
                <w:p w:rsidR="008C3A8C" w:rsidRPr="008C3A8C" w:rsidRDefault="008C3A8C">
                  <w:pPr>
                    <w:rPr>
                      <w:rFonts w:ascii="FrnkGothITC Bk BT" w:hAnsi="FrnkGothITC Bk BT"/>
                      <w:color w:val="002060"/>
                      <w:sz w:val="18"/>
                      <w:szCs w:val="18"/>
                    </w:rPr>
                  </w:pPr>
                  <w:r w:rsidRPr="008C3A8C">
                    <w:rPr>
                      <w:rFonts w:ascii="FrnkGothITC Bk BT" w:hAnsi="FrnkGothITC Bk BT"/>
                      <w:color w:val="002060"/>
                      <w:sz w:val="18"/>
                      <w:szCs w:val="18"/>
                      <w:lang w:bidi="he-IL"/>
                    </w:rPr>
                    <w:t xml:space="preserve">Yemenitas en la </w:t>
                  </w:r>
                  <w:proofErr w:type="spellStart"/>
                  <w:r w:rsidRPr="008C3A8C">
                    <w:rPr>
                      <w:rFonts w:ascii="FrnkGothITC Bk BT" w:hAnsi="FrnkGothITC Bk BT"/>
                      <w:i/>
                      <w:color w:val="002060"/>
                      <w:sz w:val="18"/>
                      <w:szCs w:val="18"/>
                      <w:lang w:bidi="he-IL"/>
                    </w:rPr>
                    <w:t>maabará</w:t>
                  </w:r>
                  <w:proofErr w:type="spellEnd"/>
                  <w:r w:rsidRPr="008C3A8C">
                    <w:rPr>
                      <w:rFonts w:ascii="FrnkGothITC Bk BT" w:hAnsi="FrnkGothITC Bk BT"/>
                      <w:i/>
                      <w:color w:val="002060"/>
                      <w:sz w:val="18"/>
                      <w:szCs w:val="18"/>
                      <w:lang w:bidi="he-IL"/>
                    </w:rPr>
                    <w:t xml:space="preserve"> </w:t>
                  </w:r>
                  <w:r w:rsidRPr="008C3A8C">
                    <w:rPr>
                      <w:rFonts w:ascii="FrnkGothITC Bk BT" w:hAnsi="FrnkGothITC Bk BT"/>
                      <w:color w:val="002060"/>
                      <w:sz w:val="18"/>
                      <w:szCs w:val="18"/>
                      <w:lang w:bidi="he-IL"/>
                    </w:rPr>
                    <w:t xml:space="preserve">de </w:t>
                  </w:r>
                  <w:proofErr w:type="spellStart"/>
                  <w:r w:rsidRPr="008C3A8C">
                    <w:rPr>
                      <w:rFonts w:ascii="FrnkGothITC Bk BT" w:hAnsi="FrnkGothITC Bk BT"/>
                      <w:color w:val="002060"/>
                      <w:sz w:val="18"/>
                      <w:szCs w:val="18"/>
                      <w:lang w:bidi="he-IL"/>
                    </w:rPr>
                    <w:t>Rosh</w:t>
                  </w:r>
                  <w:proofErr w:type="spellEnd"/>
                  <w:r w:rsidRPr="008C3A8C">
                    <w:rPr>
                      <w:rFonts w:ascii="FrnkGothITC Bk BT" w:hAnsi="FrnkGothITC Bk BT"/>
                      <w:color w:val="002060"/>
                      <w:sz w:val="18"/>
                      <w:szCs w:val="18"/>
                      <w:lang w:bidi="he-IL"/>
                    </w:rPr>
                    <w:t xml:space="preserve"> </w:t>
                  </w:r>
                  <w:proofErr w:type="spellStart"/>
                  <w:r w:rsidRPr="008C3A8C">
                    <w:rPr>
                      <w:rFonts w:ascii="FrnkGothITC Bk BT" w:hAnsi="FrnkGothITC Bk BT"/>
                      <w:color w:val="002060"/>
                      <w:sz w:val="18"/>
                      <w:szCs w:val="18"/>
                      <w:lang w:bidi="he-IL"/>
                    </w:rPr>
                    <w:t>Haáin</w:t>
                  </w:r>
                  <w:proofErr w:type="spellEnd"/>
                  <w:r w:rsidRPr="008C3A8C">
                    <w:rPr>
                      <w:rFonts w:ascii="FrnkGothITC Bk BT" w:hAnsi="FrnkGothITC Bk BT"/>
                      <w:color w:val="002060"/>
                      <w:sz w:val="18"/>
                      <w:szCs w:val="18"/>
                      <w:lang w:bidi="he-IL"/>
                    </w:rPr>
                    <w:t xml:space="preserve">    </w:t>
                  </w:r>
                </w:p>
              </w:txbxContent>
            </v:textbox>
          </v:shape>
        </w:pict>
      </w:r>
    </w:p>
    <w:p w:rsidR="002311B6" w:rsidRDefault="002311B6" w:rsidP="008C3A8C">
      <w:pPr>
        <w:pStyle w:val="Prrafodelista"/>
        <w:spacing w:before="0" w:beforeAutospacing="0" w:after="0" w:afterAutospacing="0" w:line="240" w:lineRule="auto"/>
        <w:ind w:left="0"/>
        <w:rPr>
          <w:rFonts w:ascii="FrnkGothITC Bk BT" w:hAnsi="FrnkGothITC Bk BT"/>
          <w:b/>
          <w:bCs/>
          <w:sz w:val="24"/>
          <w:szCs w:val="24"/>
          <w:lang w:val="es-ES"/>
        </w:rPr>
      </w:pPr>
    </w:p>
    <w:p w:rsidR="008C3A8C" w:rsidRPr="008C3A8C" w:rsidRDefault="008C3A8C" w:rsidP="008C3A8C">
      <w:pPr>
        <w:pStyle w:val="Prrafodelista"/>
        <w:spacing w:before="0" w:beforeAutospacing="0" w:after="0" w:afterAutospacing="0" w:line="240" w:lineRule="auto"/>
        <w:ind w:left="0"/>
        <w:rPr>
          <w:rFonts w:ascii="FrnkGothITC Bk BT" w:hAnsi="FrnkGothITC Bk BT"/>
          <w:b/>
          <w:bCs/>
          <w:sz w:val="24"/>
          <w:szCs w:val="24"/>
          <w:lang w:val="es-ES"/>
        </w:rPr>
      </w:pPr>
      <w:r w:rsidRPr="008C3A8C">
        <w:rPr>
          <w:rFonts w:ascii="FrnkGothITC Bk BT" w:hAnsi="FrnkGothITC Bk BT"/>
          <w:b/>
          <w:bCs/>
          <w:sz w:val="24"/>
          <w:szCs w:val="24"/>
          <w:lang w:val="es-ES"/>
        </w:rPr>
        <w:lastRenderedPageBreak/>
        <w:t xml:space="preserve">La segunda gran oleada de </w:t>
      </w:r>
      <w:proofErr w:type="spellStart"/>
      <w:r w:rsidRPr="008C3A8C">
        <w:rPr>
          <w:rFonts w:ascii="FrnkGothITC Bk BT" w:hAnsi="FrnkGothITC Bk BT"/>
          <w:b/>
          <w:bCs/>
          <w:i/>
          <w:iCs/>
          <w:sz w:val="24"/>
          <w:szCs w:val="24"/>
          <w:lang w:val="es-ES"/>
        </w:rPr>
        <w:t>aliá</w:t>
      </w:r>
      <w:proofErr w:type="spellEnd"/>
      <w:r w:rsidRPr="008C3A8C">
        <w:rPr>
          <w:rFonts w:ascii="FrnkGothITC Bk BT" w:hAnsi="FrnkGothITC Bk BT"/>
          <w:b/>
          <w:bCs/>
          <w:sz w:val="24"/>
          <w:szCs w:val="24"/>
          <w:lang w:val="es-ES"/>
        </w:rPr>
        <w:t xml:space="preserve"> de los años ‘90</w:t>
      </w:r>
    </w:p>
    <w:p w:rsidR="008C3A8C" w:rsidRPr="00AD2699" w:rsidRDefault="008C3A8C" w:rsidP="008C3A8C">
      <w:pPr>
        <w:pStyle w:val="Prrafodelista"/>
        <w:spacing w:before="0" w:beforeAutospacing="0" w:after="0" w:afterAutospacing="0" w:line="240" w:lineRule="auto"/>
        <w:ind w:left="0"/>
        <w:rPr>
          <w:rFonts w:ascii="FrnkGothITC Bk BT" w:hAnsi="FrnkGothITC Bk BT"/>
          <w:lang w:val="es-ES"/>
        </w:rPr>
      </w:pPr>
      <w:r w:rsidRPr="00AD2699">
        <w:rPr>
          <w:rFonts w:ascii="FrnkGothITC Bk BT" w:hAnsi="FrnkGothITC Bk BT"/>
          <w:lang w:val="es-ES"/>
        </w:rPr>
        <w:t>Material informativo</w:t>
      </w: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  <w:lang w:bidi="he-IL"/>
        </w:rPr>
      </w:pP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</w:rPr>
      </w:pPr>
      <w:r w:rsidRPr="008C3A8C">
        <w:rPr>
          <w:rFonts w:ascii="FrnkGothITC Bk BT" w:hAnsi="FrnkGothITC Bk BT"/>
          <w:b/>
          <w:bCs/>
        </w:rPr>
        <w:t xml:space="preserve">Los </w:t>
      </w:r>
      <w:proofErr w:type="spellStart"/>
      <w:r w:rsidRPr="008C3A8C">
        <w:rPr>
          <w:rFonts w:ascii="FrnkGothITC Bk BT" w:hAnsi="FrnkGothITC Bk BT"/>
          <w:b/>
          <w:bCs/>
          <w:i/>
          <w:iCs/>
        </w:rPr>
        <w:t>olim</w:t>
      </w:r>
      <w:proofErr w:type="spellEnd"/>
      <w:r w:rsidRPr="008C3A8C">
        <w:rPr>
          <w:rFonts w:ascii="FrnkGothITC Bk BT" w:hAnsi="FrnkGothITC Bk BT"/>
          <w:b/>
          <w:bCs/>
          <w:i/>
          <w:iCs/>
        </w:rPr>
        <w:t xml:space="preserve"> </w:t>
      </w:r>
      <w:r w:rsidRPr="008C3A8C">
        <w:rPr>
          <w:rFonts w:ascii="FrnkGothITC Bk BT" w:hAnsi="FrnkGothITC Bk BT"/>
          <w:b/>
          <w:bCs/>
        </w:rPr>
        <w:t>etíopes</w:t>
      </w:r>
      <w:r w:rsidRPr="008C3A8C">
        <w:rPr>
          <w:rFonts w:ascii="FrnkGothITC Bk BT" w:hAnsi="FrnkGothITC Bk BT"/>
        </w:rPr>
        <w:t xml:space="preserve"> </w:t>
      </w: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</w:rPr>
      </w:pPr>
      <w:r w:rsidRPr="008C3A8C">
        <w:rPr>
          <w:rFonts w:ascii="FrnkGothITC Bk BT" w:hAnsi="FrnkGothITC Bk BT"/>
        </w:rPr>
        <w:t xml:space="preserve">Una de las comunidades que componen el mosaico cultural israelí es la oriunda de Etiopía. La mayoría de los inmigrantes etíopes llegaron a Israel entre los años 1984 y 1991, en las operaciones llamadas “Moisés” y “Salomón”, respectivamente. </w:t>
      </w:r>
      <w:r w:rsidRPr="008C3A8C">
        <w:rPr>
          <w:rFonts w:ascii="FrnkGothITC Bk BT" w:hAnsi="FrnkGothITC Bk BT"/>
          <w:lang w:bidi="he-IL"/>
        </w:rPr>
        <w:t>En 2016 la población de origen etíope sumaba 144.100 personas de las cuales</w:t>
      </w:r>
      <w:r w:rsidRPr="008C3A8C">
        <w:rPr>
          <w:rFonts w:ascii="FrnkGothITC Bk BT" w:hAnsi="FrnkGothITC Bk BT"/>
        </w:rPr>
        <w:t xml:space="preserve"> alrededor de 85.500 personas son </w:t>
      </w:r>
      <w:proofErr w:type="spellStart"/>
      <w:r w:rsidRPr="008C3A8C">
        <w:rPr>
          <w:rFonts w:ascii="FrnkGothITC Bk BT" w:hAnsi="FrnkGothITC Bk BT"/>
          <w:i/>
          <w:iCs/>
        </w:rPr>
        <w:t>olim</w:t>
      </w:r>
      <w:proofErr w:type="spellEnd"/>
      <w:r w:rsidRPr="008C3A8C">
        <w:rPr>
          <w:rFonts w:ascii="FrnkGothITC Bk BT" w:hAnsi="FrnkGothITC Bk BT"/>
        </w:rPr>
        <w:t>, y 58.600 son nacidos en Israel de padres etíopes</w:t>
      </w:r>
      <w:r w:rsidRPr="008C3A8C">
        <w:rPr>
          <w:rStyle w:val="Refdenotaalpie"/>
          <w:rFonts w:ascii="FrnkGothITC Bk BT" w:hAnsi="FrnkGothITC Bk BT"/>
          <w:sz w:val="22"/>
        </w:rPr>
        <w:footnoteReference w:id="1"/>
      </w:r>
      <w:r w:rsidRPr="008C3A8C">
        <w:rPr>
          <w:rFonts w:ascii="FrnkGothITC Bk BT" w:hAnsi="FrnkGothITC Bk BT"/>
        </w:rPr>
        <w:t xml:space="preserve">. Ellos habitan en diversos puntos del país, aunque en particular residen en ciudades en desarrollo o en barrios de nivel socioeconómico medio o bajo de las grandes ciudades. </w:t>
      </w: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</w:rPr>
      </w:pP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</w:rPr>
      </w:pPr>
      <w:r w:rsidRPr="008C3A8C">
        <w:rPr>
          <w:rFonts w:ascii="FrnkGothITC Bk BT" w:hAnsi="FrnkGothITC Bk BT"/>
        </w:rPr>
        <w:t xml:space="preserve">La población de origen etíope ha tenido serios problemas de integración a la sociedad israelí. Más allá de las diferencias culturales, la mayoría de estos inmigrantes carecían de un oficio o profesión acorde a las necesidades del mercado laboral propio de occidente, y no estaban alfabetizados. Los hijos de estos inmigrantes lograron insertarse en los marcos educativos y muchos de ellos obtuvieron títulos universitarios. </w:t>
      </w: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</w:rPr>
      </w:pP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</w:rPr>
      </w:pPr>
      <w:r w:rsidRPr="008C3A8C">
        <w:rPr>
          <w:rFonts w:ascii="FrnkGothITC Bk BT" w:hAnsi="FrnkGothITC Bk BT"/>
        </w:rPr>
        <w:t xml:space="preserve">Es interesante destacar que todo ciudadano israelí de origen etíope recibe del Estado una beca completa para obtener un primer título universitario. Consecuentemente, las nuevas generaciones logran una mayor integración a la sociedad, y los altos índices de desocupación, de delincuencia y marginalidad que caracterizaron a esta población, tienden a disminuir entre los jóvenes, si bien aún se encuentran con dificultades para conseguir empleo, incluso los graduados de altos estudios. </w:t>
      </w: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</w:rPr>
      </w:pPr>
    </w:p>
    <w:p w:rsidR="008C3A8C" w:rsidRDefault="008C3A8C" w:rsidP="008C3A8C">
      <w:pPr>
        <w:spacing w:before="0" w:beforeAutospacing="0" w:after="0" w:afterAutospacing="0"/>
        <w:rPr>
          <w:rFonts w:ascii="FrnkGothITC Bk BT" w:hAnsi="FrnkGothITC Bk BT"/>
        </w:rPr>
      </w:pPr>
      <w:r w:rsidRPr="008C3A8C">
        <w:rPr>
          <w:rFonts w:ascii="FrnkGothITC Bk BT" w:hAnsi="FrnkGothITC Bk BT"/>
          <w:i/>
          <w:iCs/>
        </w:rPr>
        <w:t>“</w:t>
      </w:r>
      <w:proofErr w:type="spellStart"/>
      <w:r w:rsidRPr="008C3A8C">
        <w:rPr>
          <w:rFonts w:ascii="FrnkGothITC Bk BT" w:hAnsi="FrnkGothITC Bk BT"/>
          <w:i/>
          <w:iCs/>
        </w:rPr>
        <w:t>Olim</w:t>
      </w:r>
      <w:proofErr w:type="spellEnd"/>
      <w:r w:rsidRPr="008C3A8C">
        <w:rPr>
          <w:rFonts w:ascii="FrnkGothITC Bk BT" w:hAnsi="FrnkGothITC Bk BT"/>
          <w:i/>
          <w:iCs/>
        </w:rPr>
        <w:t xml:space="preserve"> </w:t>
      </w:r>
      <w:proofErr w:type="spellStart"/>
      <w:r w:rsidRPr="008C3A8C">
        <w:rPr>
          <w:rFonts w:ascii="FrnkGothITC Bk BT" w:hAnsi="FrnkGothITC Bk BT"/>
          <w:i/>
          <w:iCs/>
        </w:rPr>
        <w:t>Beiajad</w:t>
      </w:r>
      <w:proofErr w:type="spellEnd"/>
      <w:r w:rsidRPr="008C3A8C">
        <w:rPr>
          <w:rFonts w:ascii="FrnkGothITC Bk BT" w:hAnsi="FrnkGothITC Bk BT"/>
          <w:i/>
          <w:iCs/>
        </w:rPr>
        <w:t>”</w:t>
      </w:r>
      <w:r w:rsidRPr="008C3A8C">
        <w:rPr>
          <w:rFonts w:ascii="FrnkGothITC Bk BT" w:hAnsi="FrnkGothITC Bk BT"/>
        </w:rPr>
        <w:t xml:space="preserve"> es una O.N.G. destinada a promover la inserción integral de los jóvenes etíopes en la sociedad israelí, en el área social, ocupacional, educativa y de vivienda. Pueden ampliar la información sobre esta ONG en hebreo y español.</w:t>
      </w:r>
    </w:p>
    <w:p w:rsidR="008C3A8C" w:rsidRPr="008C3A8C" w:rsidRDefault="003A792E" w:rsidP="008C3A8C">
      <w:pPr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</w:rPr>
      </w:pPr>
      <w:hyperlink r:id="rId10" w:history="1">
        <w:r w:rsidR="008C3A8C" w:rsidRPr="00AD2699">
          <w:rPr>
            <w:rStyle w:val="Hipervnculo"/>
            <w:rFonts w:ascii="FrnkGothITC Bk BT" w:hAnsi="FrnkGothITC Bk BT"/>
            <w:color w:val="002060"/>
            <w:sz w:val="18"/>
            <w:szCs w:val="18"/>
            <w:u w:val="none"/>
          </w:rPr>
          <w:t>http://www.olim-beyahad.org.il/</w:t>
        </w:r>
      </w:hyperlink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  <w:r>
        <w:rPr>
          <w:rFonts w:ascii="FrnkGothITC Bk BT" w:hAnsi="FrnkGothITC Bk BT"/>
          <w:bCs/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553085</wp:posOffset>
            </wp:positionH>
            <wp:positionV relativeFrom="margin">
              <wp:posOffset>4674870</wp:posOffset>
            </wp:positionV>
            <wp:extent cx="2038350" cy="1352550"/>
            <wp:effectExtent l="19050" t="0" r="0" b="0"/>
            <wp:wrapSquare wrapText="bothSides"/>
            <wp:docPr id="9" name="Imagen 5" descr="Resultado de imagen para ‫עליה אתיופיה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‫עליה אתיופיה‬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nkGothITC Bk BT" w:hAnsi="FrnkGothITC Bk BT"/>
          <w:bCs/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2705735</wp:posOffset>
            </wp:positionH>
            <wp:positionV relativeFrom="margin">
              <wp:posOffset>4674870</wp:posOffset>
            </wp:positionV>
            <wp:extent cx="2474595" cy="1352550"/>
            <wp:effectExtent l="19050" t="0" r="1905" b="0"/>
            <wp:wrapSquare wrapText="bothSides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Pr="008C3A8C" w:rsidRDefault="008C3A8C" w:rsidP="008C3A8C">
      <w:pPr>
        <w:spacing w:before="0" w:beforeAutospacing="0" w:after="0" w:afterAutospacing="0"/>
        <w:ind w:left="57"/>
        <w:rPr>
          <w:rFonts w:ascii="FrnkGothITC Bk BT" w:hAnsi="FrnkGothITC Bk BT"/>
          <w:b/>
          <w:bCs/>
        </w:rPr>
      </w:pPr>
      <w:r w:rsidRPr="008C3A8C">
        <w:rPr>
          <w:rFonts w:ascii="FrnkGothITC Bk BT" w:hAnsi="FrnkGothITC Bk BT"/>
          <w:b/>
          <w:bCs/>
        </w:rPr>
        <w:t xml:space="preserve">La </w:t>
      </w:r>
      <w:proofErr w:type="spellStart"/>
      <w:r w:rsidRPr="008C3A8C">
        <w:rPr>
          <w:rFonts w:ascii="FrnkGothITC Bk BT" w:hAnsi="FrnkGothITC Bk BT"/>
          <w:b/>
          <w:bCs/>
          <w:i/>
          <w:iCs/>
        </w:rPr>
        <w:t>aliá</w:t>
      </w:r>
      <w:proofErr w:type="spellEnd"/>
      <w:r w:rsidRPr="008C3A8C">
        <w:rPr>
          <w:rFonts w:ascii="FrnkGothITC Bk BT" w:hAnsi="FrnkGothITC Bk BT"/>
          <w:b/>
          <w:bCs/>
        </w:rPr>
        <w:t xml:space="preserve"> de Rusia</w:t>
      </w:r>
    </w:p>
    <w:p w:rsidR="008C3A8C" w:rsidRPr="008C3A8C" w:rsidRDefault="008C3A8C" w:rsidP="008C3A8C">
      <w:pPr>
        <w:spacing w:before="0" w:beforeAutospacing="0" w:after="0" w:afterAutospacing="0"/>
        <w:ind w:left="57"/>
        <w:rPr>
          <w:rFonts w:ascii="FrnkGothITC Bk BT" w:hAnsi="FrnkGothITC Bk BT"/>
        </w:rPr>
      </w:pPr>
      <w:r w:rsidRPr="008C3A8C">
        <w:rPr>
          <w:rFonts w:ascii="FrnkGothITC Bk BT" w:hAnsi="FrnkGothITC Bk BT"/>
        </w:rPr>
        <w:t xml:space="preserve">Entre los años 1988 y 2000 Israel recibió a más de 880.000 </w:t>
      </w:r>
      <w:proofErr w:type="spellStart"/>
      <w:r w:rsidRPr="008C3A8C">
        <w:rPr>
          <w:rFonts w:ascii="FrnkGothITC Bk BT" w:hAnsi="FrnkGothITC Bk BT"/>
          <w:i/>
        </w:rPr>
        <w:t>olim</w:t>
      </w:r>
      <w:proofErr w:type="spellEnd"/>
      <w:r w:rsidRPr="008C3A8C">
        <w:rPr>
          <w:rFonts w:ascii="FrnkGothITC Bk BT" w:hAnsi="FrnkGothITC Bk BT"/>
        </w:rPr>
        <w:t xml:space="preserve"> que llegaron de las repúblicas de la antigua URSS, lo que produjo un incremento de un 21% de la población, aproximadamente.</w:t>
      </w:r>
    </w:p>
    <w:p w:rsidR="008C3A8C" w:rsidRPr="008C3A8C" w:rsidRDefault="008C3A8C" w:rsidP="008C3A8C">
      <w:pPr>
        <w:spacing w:before="0" w:beforeAutospacing="0" w:after="0" w:afterAutospacing="0"/>
        <w:ind w:left="57"/>
        <w:rPr>
          <w:rFonts w:ascii="FrnkGothITC Bk BT" w:hAnsi="FrnkGothITC Bk BT"/>
        </w:rPr>
      </w:pPr>
    </w:p>
    <w:p w:rsidR="008C3A8C" w:rsidRPr="008C3A8C" w:rsidRDefault="008C3A8C" w:rsidP="008C3A8C">
      <w:pPr>
        <w:spacing w:before="0" w:beforeAutospacing="0" w:after="0" w:afterAutospacing="0"/>
        <w:ind w:left="57"/>
        <w:rPr>
          <w:rFonts w:ascii="FrnkGothITC Bk BT" w:hAnsi="FrnkGothITC Bk BT"/>
        </w:rPr>
      </w:pPr>
      <w:r w:rsidRPr="008C3A8C">
        <w:rPr>
          <w:rFonts w:ascii="FrnkGothITC Bk BT" w:hAnsi="FrnkGothITC Bk BT"/>
        </w:rPr>
        <w:t xml:space="preserve">El proceso de absorción de los </w:t>
      </w:r>
      <w:proofErr w:type="spellStart"/>
      <w:r w:rsidRPr="008C3A8C">
        <w:rPr>
          <w:rFonts w:ascii="FrnkGothITC Bk BT" w:hAnsi="FrnkGothITC Bk BT"/>
          <w:i/>
          <w:iCs/>
        </w:rPr>
        <w:t>olim</w:t>
      </w:r>
      <w:proofErr w:type="spellEnd"/>
      <w:r w:rsidRPr="008C3A8C">
        <w:rPr>
          <w:rFonts w:ascii="FrnkGothITC Bk BT" w:hAnsi="FrnkGothITC Bk BT"/>
          <w:i/>
          <w:iCs/>
        </w:rPr>
        <w:t xml:space="preserve"> </w:t>
      </w:r>
      <w:r w:rsidRPr="008C3A8C">
        <w:rPr>
          <w:rFonts w:ascii="FrnkGothITC Bk BT" w:hAnsi="FrnkGothITC Bk BT"/>
        </w:rPr>
        <w:t xml:space="preserve">rusos tuvo características diferentes a las de los años ´50. La población de Israel era seis veces mayor que la de entonces y el </w:t>
      </w:r>
      <w:r w:rsidR="00D065D7">
        <w:rPr>
          <w:rFonts w:ascii="FrnkGothITC Bk BT" w:hAnsi="FrnkGothITC Bk BT"/>
        </w:rPr>
        <w:t>E</w:t>
      </w:r>
      <w:r w:rsidRPr="008C3A8C">
        <w:rPr>
          <w:rFonts w:ascii="FrnkGothITC Bk BT" w:hAnsi="FrnkGothITC Bk BT"/>
        </w:rPr>
        <w:t>stado contaba con los recursos económicos disponibles para hacer frente a este proceso</w:t>
      </w:r>
      <w:r w:rsidRPr="008C3A8C">
        <w:rPr>
          <w:rFonts w:ascii="FrnkGothITC Bk BT" w:hAnsi="FrnkGothITC Bk BT"/>
          <w:i/>
          <w:iCs/>
        </w:rPr>
        <w:t xml:space="preserve">. </w:t>
      </w:r>
      <w:r w:rsidRPr="008C3A8C">
        <w:rPr>
          <w:rFonts w:ascii="FrnkGothITC Bk BT" w:hAnsi="FrnkGothITC Bk BT"/>
        </w:rPr>
        <w:t xml:space="preserve">Por ende, esta </w:t>
      </w:r>
      <w:proofErr w:type="spellStart"/>
      <w:r w:rsidRPr="008C3A8C">
        <w:rPr>
          <w:rFonts w:ascii="FrnkGothITC Bk BT" w:hAnsi="FrnkGothITC Bk BT"/>
          <w:i/>
        </w:rPr>
        <w:t>aliá</w:t>
      </w:r>
      <w:proofErr w:type="spellEnd"/>
      <w:r w:rsidRPr="008C3A8C">
        <w:rPr>
          <w:rFonts w:ascii="FrnkGothITC Bk BT" w:hAnsi="FrnkGothITC Bk BT"/>
          <w:i/>
        </w:rPr>
        <w:t xml:space="preserve"> </w:t>
      </w:r>
      <w:r w:rsidRPr="008C3A8C">
        <w:rPr>
          <w:rFonts w:ascii="FrnkGothITC Bk BT" w:hAnsi="FrnkGothITC Bk BT"/>
        </w:rPr>
        <w:t xml:space="preserve">se desarrolló de manera más organizada.  </w:t>
      </w:r>
    </w:p>
    <w:p w:rsidR="008C3A8C" w:rsidRPr="008C3A8C" w:rsidRDefault="008C3A8C" w:rsidP="008C3A8C">
      <w:pPr>
        <w:spacing w:before="0" w:beforeAutospacing="0" w:after="0" w:afterAutospacing="0"/>
        <w:ind w:left="57"/>
        <w:rPr>
          <w:rFonts w:ascii="FrnkGothITC Bk BT" w:hAnsi="FrnkGothITC Bk BT"/>
        </w:rPr>
      </w:pPr>
    </w:p>
    <w:p w:rsidR="008C3A8C" w:rsidRPr="008C3A8C" w:rsidRDefault="008C3A8C" w:rsidP="008C3A8C">
      <w:pPr>
        <w:spacing w:before="0" w:beforeAutospacing="0" w:after="0" w:afterAutospacing="0"/>
        <w:ind w:left="57"/>
        <w:rPr>
          <w:rFonts w:ascii="FrnkGothITC Bk BT" w:hAnsi="FrnkGothITC Bk BT" w:cs="Calibri"/>
          <w:color w:val="000000"/>
          <w:lang w:bidi="he-IL"/>
        </w:rPr>
      </w:pPr>
      <w:r w:rsidRPr="008C3A8C">
        <w:rPr>
          <w:rFonts w:ascii="FrnkGothITC Bk BT" w:hAnsi="FrnkGothITC Bk BT"/>
        </w:rPr>
        <w:t xml:space="preserve">Una importante cantidad de </w:t>
      </w:r>
      <w:proofErr w:type="spellStart"/>
      <w:r w:rsidRPr="008C3A8C">
        <w:rPr>
          <w:rFonts w:ascii="FrnkGothITC Bk BT" w:hAnsi="FrnkGothITC Bk BT"/>
          <w:i/>
          <w:iCs/>
        </w:rPr>
        <w:t>olim</w:t>
      </w:r>
      <w:proofErr w:type="spellEnd"/>
      <w:r w:rsidRPr="008C3A8C">
        <w:rPr>
          <w:rFonts w:ascii="FrnkGothITC Bk BT" w:hAnsi="FrnkGothITC Bk BT"/>
          <w:i/>
          <w:iCs/>
        </w:rPr>
        <w:t xml:space="preserve"> </w:t>
      </w:r>
      <w:r w:rsidRPr="008C3A8C">
        <w:rPr>
          <w:rFonts w:ascii="FrnkGothITC Bk BT" w:hAnsi="FrnkGothITC Bk BT"/>
        </w:rPr>
        <w:t>rusos</w:t>
      </w:r>
      <w:r w:rsidRPr="008C3A8C">
        <w:rPr>
          <w:rFonts w:ascii="FrnkGothITC Bk BT" w:hAnsi="FrnkGothITC Bk BT"/>
          <w:i/>
          <w:iCs/>
        </w:rPr>
        <w:t xml:space="preserve"> </w:t>
      </w:r>
      <w:r w:rsidRPr="008C3A8C">
        <w:rPr>
          <w:rFonts w:ascii="FrnkGothITC Bk BT" w:hAnsi="FrnkGothITC Bk BT"/>
        </w:rPr>
        <w:t xml:space="preserve">contaba con formación académica, en profesiones liberales y en áreas de tecnología.  Se establecieron </w:t>
      </w:r>
      <w:r w:rsidRPr="008C3A8C">
        <w:rPr>
          <w:rFonts w:ascii="FrnkGothITC Bk BT" w:hAnsi="FrnkGothITC Bk BT" w:cs="Calibri"/>
          <w:color w:val="000000"/>
          <w:lang w:bidi="he-IL"/>
        </w:rPr>
        <w:t xml:space="preserve">en distintos puntos del país, y si bien actualmente muchos se </w:t>
      </w:r>
      <w:r w:rsidRPr="008C3A8C">
        <w:rPr>
          <w:rFonts w:ascii="FrnkGothITC Bk BT" w:hAnsi="FrnkGothITC Bk BT" w:cs="Calibri"/>
          <w:color w:val="000000"/>
          <w:lang w:bidi="he-IL"/>
        </w:rPr>
        <w:lastRenderedPageBreak/>
        <w:t xml:space="preserve">desempeñan en el área de los servicios, en puestos de mediana y baja jerarquía, ocupan posiciones en todos los sectores de la economía nacional. </w:t>
      </w:r>
    </w:p>
    <w:p w:rsidR="008C3A8C" w:rsidRPr="008C3A8C" w:rsidRDefault="008C3A8C" w:rsidP="008C3A8C">
      <w:pPr>
        <w:spacing w:before="0" w:beforeAutospacing="0" w:after="0" w:afterAutospacing="0"/>
        <w:ind w:left="57"/>
        <w:rPr>
          <w:rFonts w:ascii="FrnkGothITC Bk BT" w:hAnsi="FrnkGothITC Bk BT" w:cs="Calibri"/>
          <w:color w:val="000000"/>
          <w:lang w:bidi="he-IL"/>
        </w:rPr>
      </w:pPr>
    </w:p>
    <w:p w:rsidR="008C3A8C" w:rsidRPr="008C3A8C" w:rsidRDefault="008C3A8C" w:rsidP="008C3A8C">
      <w:pPr>
        <w:spacing w:before="0" w:beforeAutospacing="0" w:after="0" w:afterAutospacing="0"/>
        <w:ind w:left="57"/>
        <w:rPr>
          <w:rFonts w:ascii="FrnkGothITC Bk BT" w:hAnsi="FrnkGothITC Bk BT"/>
        </w:rPr>
      </w:pPr>
      <w:r w:rsidRPr="008C3A8C">
        <w:rPr>
          <w:rFonts w:ascii="FrnkGothITC Bk BT" w:hAnsi="FrnkGothITC Bk BT"/>
        </w:rPr>
        <w:t xml:space="preserve">Contrariamente al temor de que esta </w:t>
      </w:r>
      <w:proofErr w:type="spellStart"/>
      <w:r w:rsidRPr="008C3A8C">
        <w:rPr>
          <w:rFonts w:ascii="FrnkGothITC Bk BT" w:hAnsi="FrnkGothITC Bk BT"/>
          <w:i/>
          <w:iCs/>
        </w:rPr>
        <w:t>aliá</w:t>
      </w:r>
      <w:proofErr w:type="spellEnd"/>
      <w:r w:rsidRPr="008C3A8C">
        <w:rPr>
          <w:rFonts w:ascii="FrnkGothITC Bk BT" w:hAnsi="FrnkGothITC Bk BT"/>
        </w:rPr>
        <w:t xml:space="preserve"> incrementara la desocupación existente en aquella época en Israel, los </w:t>
      </w:r>
      <w:proofErr w:type="spellStart"/>
      <w:r w:rsidRPr="008C3A8C">
        <w:rPr>
          <w:rFonts w:ascii="FrnkGothITC Bk BT" w:hAnsi="FrnkGothITC Bk BT"/>
          <w:i/>
          <w:iCs/>
        </w:rPr>
        <w:t>olim</w:t>
      </w:r>
      <w:proofErr w:type="spellEnd"/>
      <w:r w:rsidRPr="008C3A8C">
        <w:rPr>
          <w:rFonts w:ascii="FrnkGothITC Bk BT" w:hAnsi="FrnkGothITC Bk BT"/>
        </w:rPr>
        <w:t xml:space="preserve"> rusos han contribuido al aumento de la ocupación laboral y del desarrollo económico del Estado.</w:t>
      </w:r>
      <w:r w:rsidRPr="008C3A8C">
        <w:rPr>
          <w:rStyle w:val="Refdenotaalpie"/>
          <w:rFonts w:ascii="FrnkGothITC Bk BT" w:hAnsi="FrnkGothITC Bk BT"/>
          <w:sz w:val="22"/>
        </w:rPr>
        <w:footnoteReference w:id="2"/>
      </w:r>
    </w:p>
    <w:p w:rsidR="008C3A8C" w:rsidRPr="008C3A8C" w:rsidRDefault="008C3A8C" w:rsidP="008C3A8C">
      <w:pPr>
        <w:spacing w:before="0" w:beforeAutospacing="0" w:after="0" w:afterAutospacing="0"/>
        <w:ind w:left="57"/>
        <w:rPr>
          <w:rFonts w:ascii="FrnkGothITC Bk BT" w:hAnsi="FrnkGothITC Bk BT"/>
        </w:rPr>
      </w:pPr>
    </w:p>
    <w:p w:rsidR="008C3A8C" w:rsidRPr="008C3A8C" w:rsidRDefault="008C3A8C" w:rsidP="008C3A8C">
      <w:pPr>
        <w:spacing w:before="0" w:beforeAutospacing="0" w:after="0" w:afterAutospacing="0"/>
        <w:ind w:left="57"/>
        <w:rPr>
          <w:rFonts w:ascii="FrnkGothITC Bk BT" w:hAnsi="FrnkGothITC Bk BT"/>
          <w:lang w:bidi="he-IL"/>
        </w:rPr>
      </w:pPr>
      <w:r w:rsidRPr="008C3A8C">
        <w:rPr>
          <w:rFonts w:ascii="FrnkGothITC Bk BT" w:hAnsi="FrnkGothITC Bk BT"/>
        </w:rPr>
        <w:t>El sector de habla rusa se diferenció del resto de la población, en especial a nivel cultural y de autoimagen, cultivando una identidad propia, pero integrándose a su vez a la sociedad israelí. Es notable la pluralidad de opciones culturales que han surgido en Israel destinadas a la población ruso parlante, tales como canales de cable, periódicos y teatro en ruso. También se encuentran  jardines de infantes y escuelas con especializaciones  en Matemática, Ciencias exactas, o en Arte, creadas en función de los intereses de los padres.</w:t>
      </w: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2311B6" w:rsidP="0035109F">
      <w:pPr>
        <w:spacing w:before="0" w:beforeAutospacing="0" w:after="0" w:afterAutospacing="0"/>
        <w:rPr>
          <w:rFonts w:ascii="FrnkGothITC Bk BT" w:hAnsi="FrnkGothITC Bk BT"/>
          <w:bCs/>
        </w:rPr>
      </w:pPr>
      <w:r>
        <w:rPr>
          <w:rFonts w:ascii="FrnkGothITC Bk BT" w:hAnsi="FrnkGothITC Bk BT"/>
          <w:bCs/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705485</wp:posOffset>
            </wp:positionH>
            <wp:positionV relativeFrom="margin">
              <wp:posOffset>2573655</wp:posOffset>
            </wp:positionV>
            <wp:extent cx="2409825" cy="1181100"/>
            <wp:effectExtent l="19050" t="0" r="9525" b="0"/>
            <wp:wrapSquare wrapText="bothSides"/>
            <wp:docPr id="2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99">
        <w:rPr>
          <w:rFonts w:ascii="FrnkGothITC Bk BT" w:hAnsi="FrnkGothITC Bk BT"/>
          <w:bCs/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3258185</wp:posOffset>
            </wp:positionH>
            <wp:positionV relativeFrom="margin">
              <wp:posOffset>2478405</wp:posOffset>
            </wp:positionV>
            <wp:extent cx="2038350" cy="1419225"/>
            <wp:effectExtent l="19050" t="0" r="0" b="0"/>
            <wp:wrapSquare wrapText="bothSides"/>
            <wp:docPr id="2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995AD8" w:rsidRDefault="00995AD8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  <w:b/>
          <w:bCs/>
          <w:lang w:bidi="he-IL"/>
        </w:rPr>
      </w:pPr>
      <w:r w:rsidRPr="008C3A8C">
        <w:rPr>
          <w:rFonts w:ascii="FrnkGothITC Bk BT" w:hAnsi="FrnkGothITC Bk BT"/>
          <w:b/>
          <w:bCs/>
          <w:lang w:bidi="he-IL"/>
        </w:rPr>
        <w:t>Para ampliar la información:</w:t>
      </w: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  <w:lang w:bidi="he-IL"/>
        </w:rPr>
      </w:pPr>
      <w:r w:rsidRPr="008C3A8C">
        <w:rPr>
          <w:rFonts w:ascii="FrnkGothITC Bk BT" w:hAnsi="FrnkGothITC Bk BT"/>
          <w:lang w:bidi="he-IL"/>
        </w:rPr>
        <w:t xml:space="preserve">Sitio del Ministerio de </w:t>
      </w:r>
      <w:proofErr w:type="spellStart"/>
      <w:r w:rsidRPr="008C3A8C">
        <w:rPr>
          <w:rFonts w:ascii="FrnkGothITC Bk BT" w:hAnsi="FrnkGothITC Bk BT"/>
          <w:i/>
          <w:iCs/>
          <w:lang w:bidi="he-IL"/>
        </w:rPr>
        <w:t>Aliá</w:t>
      </w:r>
      <w:proofErr w:type="spellEnd"/>
      <w:r w:rsidRPr="008C3A8C">
        <w:rPr>
          <w:rFonts w:ascii="FrnkGothITC Bk BT" w:hAnsi="FrnkGothITC Bk BT"/>
          <w:lang w:bidi="he-IL"/>
        </w:rPr>
        <w:t xml:space="preserve"> e Integración del Estado de Israel, en español:</w:t>
      </w: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  <w:lang w:bidi="he-IL"/>
        </w:rPr>
      </w:pPr>
      <w:r w:rsidRPr="008C3A8C">
        <w:rPr>
          <w:rFonts w:ascii="FrnkGothITC Bk BT" w:hAnsi="FrnkGothITC Bk BT"/>
          <w:color w:val="002060"/>
          <w:sz w:val="18"/>
          <w:szCs w:val="18"/>
          <w:lang w:bidi="he-IL"/>
        </w:rPr>
        <w:t xml:space="preserve"> </w:t>
      </w:r>
      <w:hyperlink r:id="rId15" w:history="1">
        <w:r w:rsidRPr="008C3A8C">
          <w:rPr>
            <w:rStyle w:val="Hipervnculo"/>
            <w:rFonts w:ascii="FrnkGothITC Bk BT" w:hAnsi="FrnkGothITC Bk BT"/>
            <w:color w:val="002060"/>
            <w:sz w:val="18"/>
            <w:szCs w:val="18"/>
            <w:u w:val="none"/>
            <w:lang w:bidi="he-IL"/>
          </w:rPr>
          <w:t>http://www.moia.gov.il/Spanish/FeelingIsrael/AboutIsrael/Pages/default.aspx</w:t>
        </w:r>
      </w:hyperlink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  <w:lang w:bidi="he-IL"/>
        </w:rPr>
      </w:pP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  <w:u w:val="single"/>
          <w:lang w:bidi="he-IL"/>
        </w:rPr>
      </w:pPr>
      <w:r w:rsidRPr="008C3A8C">
        <w:rPr>
          <w:rFonts w:ascii="FrnkGothITC Bk BT" w:hAnsi="FrnkGothITC Bk BT"/>
          <w:lang w:bidi="he-IL"/>
        </w:rPr>
        <w:t>Sitio del Ministerio de Relaciones Exteriores del</w:t>
      </w:r>
      <w:r w:rsidRPr="008C3A8C">
        <w:rPr>
          <w:rFonts w:ascii="FrnkGothITC Bk BT" w:hAnsi="FrnkGothITC Bk BT"/>
          <w:u w:val="single"/>
          <w:lang w:bidi="he-IL"/>
        </w:rPr>
        <w:t xml:space="preserve"> </w:t>
      </w:r>
      <w:r w:rsidRPr="008C3A8C">
        <w:rPr>
          <w:rFonts w:ascii="FrnkGothITC Bk BT" w:hAnsi="FrnkGothITC Bk BT"/>
          <w:lang w:bidi="he-IL"/>
        </w:rPr>
        <w:t>Estado de Israel, en español</w:t>
      </w:r>
      <w:r w:rsidRPr="008C3A8C">
        <w:rPr>
          <w:rFonts w:ascii="FrnkGothITC Bk BT" w:hAnsi="FrnkGothITC Bk BT"/>
          <w:u w:val="single"/>
          <w:lang w:bidi="he-IL"/>
        </w:rPr>
        <w:t xml:space="preserve"> </w:t>
      </w:r>
    </w:p>
    <w:p w:rsidR="008C3A8C" w:rsidRPr="008C3A8C" w:rsidRDefault="003A792E" w:rsidP="008C3A8C">
      <w:pPr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  <w:lang w:bidi="he-IL"/>
        </w:rPr>
      </w:pPr>
      <w:hyperlink r:id="rId16" w:history="1">
        <w:r w:rsidR="008C3A8C" w:rsidRPr="008C3A8C">
          <w:rPr>
            <w:rStyle w:val="Hipervnculo"/>
            <w:rFonts w:ascii="FrnkGothITC Bk BT" w:hAnsi="FrnkGothITC Bk BT"/>
            <w:color w:val="002060"/>
            <w:sz w:val="18"/>
            <w:szCs w:val="18"/>
            <w:u w:val="none"/>
            <w:lang w:bidi="he-IL"/>
          </w:rPr>
          <w:t>http://mfa.gov.il/MFA/MFAES/Facts%20About%20Israel/HISTORIA/Pages/HISTORIA-%20El%20Estado%20de%20Israel.aspx</w:t>
        </w:r>
      </w:hyperlink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  <w:lang w:bidi="he-IL"/>
        </w:rPr>
      </w:pPr>
    </w:p>
    <w:p w:rsidR="008C3A8C" w:rsidRPr="008C3A8C" w:rsidRDefault="008C3A8C" w:rsidP="008C3A8C">
      <w:pPr>
        <w:spacing w:before="0" w:beforeAutospacing="0" w:after="0" w:afterAutospacing="0"/>
        <w:rPr>
          <w:rFonts w:ascii="FrnkGothITC Bk BT" w:hAnsi="FrnkGothITC Bk BT"/>
          <w:lang w:bidi="he-IL"/>
        </w:rPr>
      </w:pPr>
      <w:proofErr w:type="spellStart"/>
      <w:r w:rsidRPr="008C3A8C">
        <w:rPr>
          <w:rFonts w:ascii="FrnkGothITC Bk BT" w:hAnsi="FrnkGothITC Bk BT"/>
          <w:lang w:bidi="he-IL"/>
        </w:rPr>
        <w:t>Wikiportal</w:t>
      </w:r>
      <w:proofErr w:type="spellEnd"/>
      <w:r w:rsidRPr="008C3A8C">
        <w:rPr>
          <w:rFonts w:ascii="FrnkGothITC Bk BT" w:hAnsi="FrnkGothITC Bk BT"/>
          <w:lang w:bidi="he-IL"/>
        </w:rPr>
        <w:t xml:space="preserve"> de Israel de la </w:t>
      </w:r>
      <w:proofErr w:type="spellStart"/>
      <w:r w:rsidRPr="008C3A8C">
        <w:rPr>
          <w:rFonts w:ascii="FrnkGothITC Bk BT" w:hAnsi="FrnkGothITC Bk BT"/>
          <w:lang w:bidi="he-IL"/>
        </w:rPr>
        <w:t>Wikipedia</w:t>
      </w:r>
      <w:proofErr w:type="spellEnd"/>
      <w:r w:rsidRPr="008C3A8C">
        <w:rPr>
          <w:rFonts w:ascii="FrnkGothITC Bk BT" w:hAnsi="FrnkGothITC Bk BT"/>
          <w:lang w:bidi="he-IL"/>
        </w:rPr>
        <w:t xml:space="preserve"> en español</w:t>
      </w:r>
    </w:p>
    <w:p w:rsidR="008C3A8C" w:rsidRPr="008C3A8C" w:rsidRDefault="003A792E" w:rsidP="008C3A8C">
      <w:pPr>
        <w:spacing w:before="0" w:beforeAutospacing="0" w:after="0" w:afterAutospacing="0"/>
        <w:rPr>
          <w:rStyle w:val="Hipervnculo"/>
          <w:rFonts w:ascii="FrnkGothITC Bk BT" w:hAnsi="FrnkGothITC Bk BT"/>
          <w:color w:val="002060"/>
          <w:sz w:val="18"/>
          <w:szCs w:val="18"/>
          <w:u w:val="none"/>
          <w:lang w:bidi="he-IL"/>
        </w:rPr>
      </w:pPr>
      <w:hyperlink r:id="rId17" w:history="1">
        <w:r w:rsidR="008C3A8C" w:rsidRPr="008C3A8C">
          <w:rPr>
            <w:rStyle w:val="Hipervnculo"/>
            <w:rFonts w:ascii="FrnkGothITC Bk BT" w:hAnsi="FrnkGothITC Bk BT"/>
            <w:color w:val="002060"/>
            <w:sz w:val="18"/>
            <w:szCs w:val="18"/>
            <w:u w:val="none"/>
            <w:lang w:bidi="he-IL"/>
          </w:rPr>
          <w:t>https://es.wikipedia.org/wiki/Portal:Israel</w:t>
        </w:r>
      </w:hyperlink>
    </w:p>
    <w:p w:rsidR="008C3A8C" w:rsidRDefault="008C3A8C" w:rsidP="008C3A8C">
      <w:pPr>
        <w:rPr>
          <w:lang w:bidi="he-IL"/>
        </w:rPr>
      </w:pPr>
    </w:p>
    <w:p w:rsidR="008C3A8C" w:rsidRPr="0000340E" w:rsidRDefault="008C3A8C" w:rsidP="0035109F">
      <w:pPr>
        <w:spacing w:before="0" w:beforeAutospacing="0" w:after="0" w:afterAutospacing="0"/>
        <w:rPr>
          <w:rFonts w:ascii="FrnkGothITC Bk BT" w:hAnsi="FrnkGothITC Bk BT"/>
          <w:bCs/>
        </w:rPr>
      </w:pPr>
    </w:p>
    <w:sectPr w:rsidR="008C3A8C" w:rsidRPr="0000340E" w:rsidSect="008C3A8C">
      <w:headerReference w:type="default" r:id="rId18"/>
      <w:footerReference w:type="default" r:id="rId19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BE" w:rsidRDefault="00AB6FBE" w:rsidP="00A27FE6">
      <w:pPr>
        <w:spacing w:after="0"/>
      </w:pPr>
      <w:r>
        <w:separator/>
      </w:r>
    </w:p>
  </w:endnote>
  <w:endnote w:type="continuationSeparator" w:id="0">
    <w:p w:rsidR="00AB6FBE" w:rsidRDefault="00AB6FBE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99" w:rsidRDefault="003A792E">
    <w:pPr>
      <w:pStyle w:val="Piedepgina"/>
    </w:pPr>
    <w:r>
      <w:rPr>
        <w:noProof/>
        <w:lang w:eastAsia="es-ES"/>
      </w:rPr>
      <w:pict>
        <v:rect id="_x0000_s4123" style="position:absolute;margin-left:262.85pt;margin-top:808.5pt;width:60pt;height:30.8pt;z-index:251679744;mso-position-horizontal-relative:left-margin-area;mso-position-vertical-relative:page" o:allowincell="f" stroked="f">
          <v:textbox style="mso-next-textbox:#_x0000_s4123">
            <w:txbxContent>
              <w:sdt>
                <w:sdtPr>
                  <w:rPr>
                    <w:rFonts w:ascii="Franklin Gothic Book" w:hAnsi="Franklin Gothic Book"/>
                    <w:sz w:val="24"/>
                    <w:szCs w:val="24"/>
                  </w:rPr>
                  <w:id w:val="14182284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anklin Gothic Book" w:hAnsi="Franklin Gothic Book"/>
                        <w:sz w:val="24"/>
                        <w:szCs w:val="24"/>
                      </w:rPr>
                      <w:id w:val="1418228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AD2699" w:rsidRPr="00416E37" w:rsidRDefault="003A792E" w:rsidP="00AD2699">
                        <w:pPr>
                          <w:jc w:val="center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begin"/>
                        </w:r>
                        <w:r w:rsidR="00AD2699"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separate"/>
                        </w:r>
                        <w:r w:rsidR="002311B6">
                          <w:rPr>
                            <w:rFonts w:ascii="Franklin Gothic Book" w:hAnsi="Franklin Gothic Book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BE" w:rsidRDefault="00AB6FBE" w:rsidP="00A27FE6">
      <w:pPr>
        <w:spacing w:after="0"/>
      </w:pPr>
      <w:r>
        <w:separator/>
      </w:r>
    </w:p>
  </w:footnote>
  <w:footnote w:type="continuationSeparator" w:id="0">
    <w:p w:rsidR="00AB6FBE" w:rsidRDefault="00AB6FBE" w:rsidP="00A27FE6">
      <w:pPr>
        <w:spacing w:after="0"/>
      </w:pPr>
      <w:r>
        <w:continuationSeparator/>
      </w:r>
    </w:p>
  </w:footnote>
  <w:footnote w:id="1">
    <w:p w:rsidR="008C3A8C" w:rsidRPr="00AD2699" w:rsidRDefault="008C3A8C" w:rsidP="00AD2699">
      <w:pPr>
        <w:spacing w:before="0" w:beforeAutospacing="0" w:after="0" w:afterAutospacing="0"/>
        <w:ind w:left="57"/>
        <w:rPr>
          <w:color w:val="002060"/>
          <w:sz w:val="16"/>
          <w:szCs w:val="16"/>
          <w:lang w:bidi="he-IL"/>
        </w:rPr>
      </w:pPr>
      <w:r w:rsidRPr="00AD2699">
        <w:rPr>
          <w:rStyle w:val="Refdenotaalpie"/>
          <w:sz w:val="16"/>
          <w:szCs w:val="16"/>
        </w:rPr>
        <w:footnoteRef/>
      </w:r>
      <w:r w:rsidRPr="00AD2699">
        <w:rPr>
          <w:sz w:val="16"/>
          <w:szCs w:val="16"/>
        </w:rPr>
        <w:t xml:space="preserve"> </w:t>
      </w:r>
      <w:r w:rsidRPr="00AD2699">
        <w:rPr>
          <w:color w:val="002060"/>
          <w:sz w:val="16"/>
          <w:szCs w:val="16"/>
          <w:lang w:bidi="he-IL"/>
        </w:rPr>
        <w:t>https://www.inn.co.il/News/News.aspx/359239</w:t>
      </w:r>
    </w:p>
  </w:footnote>
  <w:footnote w:id="2">
    <w:p w:rsidR="008C3A8C" w:rsidRPr="00AD2699" w:rsidRDefault="008C3A8C" w:rsidP="008C3A8C">
      <w:pPr>
        <w:pStyle w:val="Textonotapie"/>
        <w:spacing w:before="0" w:beforeAutospacing="0" w:afterAutospacing="0"/>
        <w:rPr>
          <w:rFonts w:ascii="FrnkGothITC Bk BT" w:hAnsi="FrnkGothITC Bk BT"/>
          <w:sz w:val="16"/>
          <w:szCs w:val="16"/>
        </w:rPr>
      </w:pPr>
      <w:r w:rsidRPr="00AD2699">
        <w:rPr>
          <w:rStyle w:val="Refdenotaalpie"/>
          <w:rFonts w:ascii="FrnkGothITC Bk BT" w:hAnsi="FrnkGothITC Bk BT"/>
          <w:sz w:val="16"/>
          <w:szCs w:val="16"/>
        </w:rPr>
        <w:footnoteRef/>
      </w:r>
      <w:r w:rsidRPr="00AD2699">
        <w:rPr>
          <w:rFonts w:ascii="FrnkGothITC Bk BT" w:hAnsi="FrnkGothITC Bk BT"/>
          <w:sz w:val="16"/>
          <w:szCs w:val="16"/>
          <w:lang w:val="es-ES"/>
        </w:rPr>
        <w:t xml:space="preserve"> Ver </w:t>
      </w:r>
      <w:proofErr w:type="spellStart"/>
      <w:r w:rsidRPr="00AD2699">
        <w:rPr>
          <w:rFonts w:ascii="FrnkGothITC Bk BT" w:hAnsi="FrnkGothITC Bk BT"/>
          <w:sz w:val="16"/>
          <w:szCs w:val="16"/>
          <w:lang w:val="es-ES"/>
        </w:rPr>
        <w:t>Senor</w:t>
      </w:r>
      <w:proofErr w:type="spellEnd"/>
      <w:r w:rsidRPr="00AD2699">
        <w:rPr>
          <w:rFonts w:ascii="FrnkGothITC Bk BT" w:hAnsi="FrnkGothITC Bk BT"/>
          <w:sz w:val="16"/>
          <w:szCs w:val="16"/>
          <w:lang w:val="es-ES"/>
        </w:rPr>
        <w:t>, D y Singer, S., (2009. “</w:t>
      </w:r>
      <w:proofErr w:type="spellStart"/>
      <w:r w:rsidRPr="00AD2699">
        <w:rPr>
          <w:rFonts w:ascii="FrnkGothITC Bk BT" w:hAnsi="FrnkGothITC Bk BT"/>
          <w:i/>
          <w:iCs/>
          <w:sz w:val="16"/>
          <w:szCs w:val="16"/>
          <w:lang w:val="es-ES"/>
        </w:rPr>
        <w:t>Start</w:t>
      </w:r>
      <w:proofErr w:type="spellEnd"/>
      <w:r w:rsidRPr="00AD2699">
        <w:rPr>
          <w:rFonts w:ascii="FrnkGothITC Bk BT" w:hAnsi="FrnkGothITC Bk BT"/>
          <w:i/>
          <w:iCs/>
          <w:sz w:val="16"/>
          <w:szCs w:val="16"/>
          <w:lang w:val="es-ES"/>
        </w:rPr>
        <w:t xml:space="preserve">-up </w:t>
      </w:r>
      <w:proofErr w:type="spellStart"/>
      <w:r w:rsidRPr="00AD2699">
        <w:rPr>
          <w:rFonts w:ascii="FrnkGothITC Bk BT" w:hAnsi="FrnkGothITC Bk BT"/>
          <w:i/>
          <w:iCs/>
          <w:sz w:val="16"/>
          <w:szCs w:val="16"/>
          <w:lang w:val="es-ES"/>
        </w:rPr>
        <w:t>nation</w:t>
      </w:r>
      <w:proofErr w:type="spellEnd"/>
      <w:r w:rsidRPr="00AD2699">
        <w:rPr>
          <w:rFonts w:ascii="FrnkGothITC Bk BT" w:hAnsi="FrnkGothITC Bk BT"/>
          <w:sz w:val="16"/>
          <w:szCs w:val="16"/>
          <w:lang w:val="es-ES"/>
        </w:rPr>
        <w:t xml:space="preserve"> – La historia del milagro económico israelí”. </w:t>
      </w:r>
      <w:proofErr w:type="spellStart"/>
      <w:proofErr w:type="gramStart"/>
      <w:r w:rsidRPr="00AD2699">
        <w:rPr>
          <w:rFonts w:ascii="FrnkGothITC Bk BT" w:hAnsi="FrnkGothITC Bk BT"/>
          <w:sz w:val="16"/>
          <w:szCs w:val="16"/>
        </w:rPr>
        <w:t>Capítulo</w:t>
      </w:r>
      <w:proofErr w:type="spellEnd"/>
      <w:r w:rsidRPr="00AD2699">
        <w:rPr>
          <w:rFonts w:ascii="FrnkGothITC Bk BT" w:hAnsi="FrnkGothITC Bk BT"/>
          <w:sz w:val="16"/>
          <w:szCs w:val="16"/>
        </w:rPr>
        <w:t xml:space="preserve"> 7- Ed. </w:t>
      </w:r>
      <w:proofErr w:type="spellStart"/>
      <w:r w:rsidRPr="00AD2699">
        <w:rPr>
          <w:rFonts w:ascii="FrnkGothITC Bk BT" w:hAnsi="FrnkGothITC Bk BT"/>
          <w:sz w:val="16"/>
          <w:szCs w:val="16"/>
        </w:rPr>
        <w:t>Publiexpress</w:t>
      </w:r>
      <w:proofErr w:type="spellEnd"/>
      <w:r w:rsidRPr="00AD2699">
        <w:rPr>
          <w:rFonts w:ascii="FrnkGothITC Bk BT" w:hAnsi="FrnkGothITC Bk BT"/>
          <w:sz w:val="16"/>
          <w:szCs w:val="16"/>
        </w:rPr>
        <w:t>- Buenos Aires, Argentina.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595"/>
    <w:multiLevelType w:val="hybridMultilevel"/>
    <w:tmpl w:val="8A402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8EA2A2F"/>
    <w:multiLevelType w:val="hybridMultilevel"/>
    <w:tmpl w:val="0130D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5457"/>
    <w:multiLevelType w:val="hybridMultilevel"/>
    <w:tmpl w:val="B36E264A"/>
    <w:lvl w:ilvl="0" w:tplc="1F568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037C5"/>
    <w:multiLevelType w:val="hybridMultilevel"/>
    <w:tmpl w:val="E4925700"/>
    <w:lvl w:ilvl="0" w:tplc="47D6612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859B1"/>
    <w:multiLevelType w:val="hybridMultilevel"/>
    <w:tmpl w:val="2C4A6586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774A5"/>
    <w:multiLevelType w:val="hybridMultilevel"/>
    <w:tmpl w:val="70A862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27BB3"/>
    <w:multiLevelType w:val="hybridMultilevel"/>
    <w:tmpl w:val="C326032A"/>
    <w:lvl w:ilvl="0" w:tplc="B1D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E135D"/>
    <w:multiLevelType w:val="hybridMultilevel"/>
    <w:tmpl w:val="11FEB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3880"/>
    <w:multiLevelType w:val="hybridMultilevel"/>
    <w:tmpl w:val="99C0C59A"/>
    <w:lvl w:ilvl="0" w:tplc="1F568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7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947E4"/>
    <w:multiLevelType w:val="hybridMultilevel"/>
    <w:tmpl w:val="E12E2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686DAB"/>
    <w:multiLevelType w:val="hybridMultilevel"/>
    <w:tmpl w:val="800E128A"/>
    <w:lvl w:ilvl="0" w:tplc="03AA094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F4A89"/>
    <w:multiLevelType w:val="hybridMultilevel"/>
    <w:tmpl w:val="7CBE2642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04A71"/>
    <w:multiLevelType w:val="hybridMultilevel"/>
    <w:tmpl w:val="2F10F11C"/>
    <w:lvl w:ilvl="0" w:tplc="47D6612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F178D"/>
    <w:multiLevelType w:val="hybridMultilevel"/>
    <w:tmpl w:val="B964C0B4"/>
    <w:lvl w:ilvl="0" w:tplc="4596EF6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C96C18"/>
    <w:multiLevelType w:val="hybridMultilevel"/>
    <w:tmpl w:val="509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C15C6"/>
    <w:multiLevelType w:val="hybridMultilevel"/>
    <w:tmpl w:val="2F5C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2308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62687"/>
    <w:multiLevelType w:val="hybridMultilevel"/>
    <w:tmpl w:val="3CF02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31D33"/>
    <w:multiLevelType w:val="hybridMultilevel"/>
    <w:tmpl w:val="B2747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9C7F06"/>
    <w:multiLevelType w:val="hybridMultilevel"/>
    <w:tmpl w:val="E9D0661E"/>
    <w:lvl w:ilvl="0" w:tplc="EE805B00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-1395" w:hanging="360"/>
      </w:pPr>
    </w:lvl>
    <w:lvl w:ilvl="2" w:tplc="0C0A001B" w:tentative="1">
      <w:start w:val="1"/>
      <w:numFmt w:val="lowerRoman"/>
      <w:lvlText w:val="%3."/>
      <w:lvlJc w:val="right"/>
      <w:pPr>
        <w:ind w:left="-675" w:hanging="180"/>
      </w:pPr>
    </w:lvl>
    <w:lvl w:ilvl="3" w:tplc="0C0A000F" w:tentative="1">
      <w:start w:val="1"/>
      <w:numFmt w:val="decimal"/>
      <w:lvlText w:val="%4."/>
      <w:lvlJc w:val="left"/>
      <w:pPr>
        <w:ind w:left="45" w:hanging="360"/>
      </w:pPr>
    </w:lvl>
    <w:lvl w:ilvl="4" w:tplc="0C0A0019" w:tentative="1">
      <w:start w:val="1"/>
      <w:numFmt w:val="lowerLetter"/>
      <w:lvlText w:val="%5."/>
      <w:lvlJc w:val="left"/>
      <w:pPr>
        <w:ind w:left="765" w:hanging="360"/>
      </w:pPr>
    </w:lvl>
    <w:lvl w:ilvl="5" w:tplc="0C0A001B" w:tentative="1">
      <w:start w:val="1"/>
      <w:numFmt w:val="lowerRoman"/>
      <w:lvlText w:val="%6."/>
      <w:lvlJc w:val="right"/>
      <w:pPr>
        <w:ind w:left="1485" w:hanging="180"/>
      </w:pPr>
    </w:lvl>
    <w:lvl w:ilvl="6" w:tplc="0C0A000F" w:tentative="1">
      <w:start w:val="1"/>
      <w:numFmt w:val="decimal"/>
      <w:lvlText w:val="%7."/>
      <w:lvlJc w:val="left"/>
      <w:pPr>
        <w:ind w:left="2205" w:hanging="360"/>
      </w:pPr>
    </w:lvl>
    <w:lvl w:ilvl="7" w:tplc="0C0A0019" w:tentative="1">
      <w:start w:val="1"/>
      <w:numFmt w:val="lowerLetter"/>
      <w:lvlText w:val="%8."/>
      <w:lvlJc w:val="left"/>
      <w:pPr>
        <w:ind w:left="2925" w:hanging="360"/>
      </w:pPr>
    </w:lvl>
    <w:lvl w:ilvl="8" w:tplc="0C0A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37">
    <w:nsid w:val="6C6E085D"/>
    <w:multiLevelType w:val="hybridMultilevel"/>
    <w:tmpl w:val="FA86A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C3566"/>
    <w:multiLevelType w:val="hybridMultilevel"/>
    <w:tmpl w:val="773E233C"/>
    <w:lvl w:ilvl="0" w:tplc="DE889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C0ECD"/>
    <w:multiLevelType w:val="hybridMultilevel"/>
    <w:tmpl w:val="088C3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30551"/>
    <w:multiLevelType w:val="hybridMultilevel"/>
    <w:tmpl w:val="2DD6E822"/>
    <w:lvl w:ilvl="0" w:tplc="DE889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27A74"/>
    <w:multiLevelType w:val="hybridMultilevel"/>
    <w:tmpl w:val="FDFAE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</w:num>
  <w:num w:numId="3">
    <w:abstractNumId w:val="36"/>
  </w:num>
  <w:num w:numId="4">
    <w:abstractNumId w:val="29"/>
  </w:num>
  <w:num w:numId="5">
    <w:abstractNumId w:val="30"/>
  </w:num>
  <w:num w:numId="6">
    <w:abstractNumId w:val="14"/>
  </w:num>
  <w:num w:numId="7">
    <w:abstractNumId w:val="11"/>
  </w:num>
  <w:num w:numId="8">
    <w:abstractNumId w:val="39"/>
  </w:num>
  <w:num w:numId="9">
    <w:abstractNumId w:val="5"/>
  </w:num>
  <w:num w:numId="10">
    <w:abstractNumId w:val="28"/>
  </w:num>
  <w:num w:numId="11">
    <w:abstractNumId w:val="31"/>
  </w:num>
  <w:num w:numId="12">
    <w:abstractNumId w:val="23"/>
  </w:num>
  <w:num w:numId="13">
    <w:abstractNumId w:val="17"/>
  </w:num>
  <w:num w:numId="14">
    <w:abstractNumId w:val="18"/>
  </w:num>
  <w:num w:numId="15">
    <w:abstractNumId w:val="24"/>
  </w:num>
  <w:num w:numId="16">
    <w:abstractNumId w:val="35"/>
  </w:num>
  <w:num w:numId="17">
    <w:abstractNumId w:val="16"/>
  </w:num>
  <w:num w:numId="18">
    <w:abstractNumId w:val="43"/>
  </w:num>
  <w:num w:numId="19">
    <w:abstractNumId w:val="3"/>
  </w:num>
  <w:num w:numId="20">
    <w:abstractNumId w:val="0"/>
  </w:num>
  <w:num w:numId="21">
    <w:abstractNumId w:val="2"/>
  </w:num>
  <w:num w:numId="22">
    <w:abstractNumId w:val="19"/>
  </w:num>
  <w:num w:numId="23">
    <w:abstractNumId w:val="40"/>
  </w:num>
  <w:num w:numId="24">
    <w:abstractNumId w:val="10"/>
  </w:num>
  <w:num w:numId="25">
    <w:abstractNumId w:val="8"/>
  </w:num>
  <w:num w:numId="26">
    <w:abstractNumId w:val="32"/>
  </w:num>
  <w:num w:numId="27">
    <w:abstractNumId w:val="25"/>
  </w:num>
  <w:num w:numId="28">
    <w:abstractNumId w:val="12"/>
  </w:num>
  <w:num w:numId="29">
    <w:abstractNumId w:val="42"/>
  </w:num>
  <w:num w:numId="30">
    <w:abstractNumId w:val="15"/>
  </w:num>
  <w:num w:numId="31">
    <w:abstractNumId w:val="45"/>
  </w:num>
  <w:num w:numId="32">
    <w:abstractNumId w:val="6"/>
  </w:num>
  <w:num w:numId="33">
    <w:abstractNumId w:val="1"/>
  </w:num>
  <w:num w:numId="34">
    <w:abstractNumId w:val="33"/>
  </w:num>
  <w:num w:numId="35">
    <w:abstractNumId w:val="22"/>
  </w:num>
  <w:num w:numId="36">
    <w:abstractNumId w:val="27"/>
  </w:num>
  <w:num w:numId="37">
    <w:abstractNumId w:val="38"/>
  </w:num>
  <w:num w:numId="38">
    <w:abstractNumId w:val="44"/>
  </w:num>
  <w:num w:numId="39">
    <w:abstractNumId w:val="7"/>
  </w:num>
  <w:num w:numId="40">
    <w:abstractNumId w:val="26"/>
  </w:num>
  <w:num w:numId="41">
    <w:abstractNumId w:val="34"/>
  </w:num>
  <w:num w:numId="42">
    <w:abstractNumId w:val="9"/>
  </w:num>
  <w:num w:numId="43">
    <w:abstractNumId w:val="13"/>
  </w:num>
  <w:num w:numId="44">
    <w:abstractNumId w:val="20"/>
  </w:num>
  <w:num w:numId="45">
    <w:abstractNumId w:val="4"/>
  </w:num>
  <w:num w:numId="46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0340E"/>
    <w:rsid w:val="00026899"/>
    <w:rsid w:val="000412C0"/>
    <w:rsid w:val="000467C4"/>
    <w:rsid w:val="000646DA"/>
    <w:rsid w:val="000676F2"/>
    <w:rsid w:val="00091C84"/>
    <w:rsid w:val="000936B7"/>
    <w:rsid w:val="000A0655"/>
    <w:rsid w:val="000A2AF0"/>
    <w:rsid w:val="001023E8"/>
    <w:rsid w:val="00104FA0"/>
    <w:rsid w:val="0012009A"/>
    <w:rsid w:val="00141ED6"/>
    <w:rsid w:val="00163406"/>
    <w:rsid w:val="001A652A"/>
    <w:rsid w:val="00201D0C"/>
    <w:rsid w:val="002060CB"/>
    <w:rsid w:val="0021711E"/>
    <w:rsid w:val="00224D2A"/>
    <w:rsid w:val="002311B6"/>
    <w:rsid w:val="002330E5"/>
    <w:rsid w:val="00242FAA"/>
    <w:rsid w:val="00270F75"/>
    <w:rsid w:val="00282DD3"/>
    <w:rsid w:val="0029023F"/>
    <w:rsid w:val="002C69E7"/>
    <w:rsid w:val="002D18A3"/>
    <w:rsid w:val="002D6E95"/>
    <w:rsid w:val="00304B2D"/>
    <w:rsid w:val="00306E87"/>
    <w:rsid w:val="0035109F"/>
    <w:rsid w:val="00361520"/>
    <w:rsid w:val="0038290D"/>
    <w:rsid w:val="0039603C"/>
    <w:rsid w:val="003A792E"/>
    <w:rsid w:val="003B6F84"/>
    <w:rsid w:val="003C2501"/>
    <w:rsid w:val="003C5005"/>
    <w:rsid w:val="003D1DA8"/>
    <w:rsid w:val="003F060D"/>
    <w:rsid w:val="004075C3"/>
    <w:rsid w:val="00416E37"/>
    <w:rsid w:val="0042612E"/>
    <w:rsid w:val="004376D7"/>
    <w:rsid w:val="00440900"/>
    <w:rsid w:val="0049707A"/>
    <w:rsid w:val="004B5DD0"/>
    <w:rsid w:val="00526391"/>
    <w:rsid w:val="00532448"/>
    <w:rsid w:val="00557C3A"/>
    <w:rsid w:val="00575AB7"/>
    <w:rsid w:val="00592318"/>
    <w:rsid w:val="00593E58"/>
    <w:rsid w:val="005A4B19"/>
    <w:rsid w:val="005B69DF"/>
    <w:rsid w:val="005C00DB"/>
    <w:rsid w:val="00627F4C"/>
    <w:rsid w:val="006314BF"/>
    <w:rsid w:val="0069728A"/>
    <w:rsid w:val="006B56BB"/>
    <w:rsid w:val="006E02DB"/>
    <w:rsid w:val="006E3F5B"/>
    <w:rsid w:val="006F0CDC"/>
    <w:rsid w:val="00700B49"/>
    <w:rsid w:val="007219BD"/>
    <w:rsid w:val="00745328"/>
    <w:rsid w:val="0077459C"/>
    <w:rsid w:val="00774AF5"/>
    <w:rsid w:val="007801A8"/>
    <w:rsid w:val="007831A2"/>
    <w:rsid w:val="00784F80"/>
    <w:rsid w:val="007853C0"/>
    <w:rsid w:val="007C7844"/>
    <w:rsid w:val="007E4763"/>
    <w:rsid w:val="00881165"/>
    <w:rsid w:val="008A1C73"/>
    <w:rsid w:val="008C3A8C"/>
    <w:rsid w:val="00905C44"/>
    <w:rsid w:val="0091149C"/>
    <w:rsid w:val="00926960"/>
    <w:rsid w:val="00931B27"/>
    <w:rsid w:val="00957AF6"/>
    <w:rsid w:val="0096476E"/>
    <w:rsid w:val="00995AD8"/>
    <w:rsid w:val="009972B7"/>
    <w:rsid w:val="009B5689"/>
    <w:rsid w:val="009C4F9C"/>
    <w:rsid w:val="009E188F"/>
    <w:rsid w:val="009E2C42"/>
    <w:rsid w:val="009F27F7"/>
    <w:rsid w:val="00A27D9D"/>
    <w:rsid w:val="00A27FE6"/>
    <w:rsid w:val="00AB6FBE"/>
    <w:rsid w:val="00AD2699"/>
    <w:rsid w:val="00AD689D"/>
    <w:rsid w:val="00AF01A2"/>
    <w:rsid w:val="00B02A4B"/>
    <w:rsid w:val="00B15F71"/>
    <w:rsid w:val="00B166AC"/>
    <w:rsid w:val="00B2011A"/>
    <w:rsid w:val="00B31D50"/>
    <w:rsid w:val="00B62F42"/>
    <w:rsid w:val="00B7635B"/>
    <w:rsid w:val="00BB5063"/>
    <w:rsid w:val="00BE1837"/>
    <w:rsid w:val="00BE2512"/>
    <w:rsid w:val="00BE7E07"/>
    <w:rsid w:val="00C0378E"/>
    <w:rsid w:val="00C17D81"/>
    <w:rsid w:val="00C249F6"/>
    <w:rsid w:val="00C33B51"/>
    <w:rsid w:val="00C429E1"/>
    <w:rsid w:val="00C73EC2"/>
    <w:rsid w:val="00CA264C"/>
    <w:rsid w:val="00CC41D3"/>
    <w:rsid w:val="00CD62DC"/>
    <w:rsid w:val="00CF0AD6"/>
    <w:rsid w:val="00D01C82"/>
    <w:rsid w:val="00D065D7"/>
    <w:rsid w:val="00D31A23"/>
    <w:rsid w:val="00D43FC6"/>
    <w:rsid w:val="00D6299B"/>
    <w:rsid w:val="00DD139D"/>
    <w:rsid w:val="00DE2FF8"/>
    <w:rsid w:val="00E128E3"/>
    <w:rsid w:val="00E20E6F"/>
    <w:rsid w:val="00E303DF"/>
    <w:rsid w:val="00E47891"/>
    <w:rsid w:val="00E539FC"/>
    <w:rsid w:val="00EF0673"/>
    <w:rsid w:val="00EF2B1E"/>
    <w:rsid w:val="00F21205"/>
    <w:rsid w:val="00F4459C"/>
    <w:rsid w:val="00F74D9B"/>
    <w:rsid w:val="00FC1437"/>
    <w:rsid w:val="00FE2C47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paragraph" w:customStyle="1" w:styleId="style">
    <w:name w:val="style"/>
    <w:basedOn w:val="Normal"/>
    <w:rsid w:val="006B56BB"/>
    <w:pPr>
      <w:ind w:right="0"/>
    </w:pPr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character" w:customStyle="1" w:styleId="textline">
    <w:name w:val="text_line"/>
    <w:basedOn w:val="Fuentedeprrafopredeter"/>
    <w:rsid w:val="0000340E"/>
  </w:style>
  <w:style w:type="paragraph" w:customStyle="1" w:styleId="Default">
    <w:name w:val="Default"/>
    <w:rsid w:val="0035109F"/>
    <w:pPr>
      <w:autoSpaceDE w:val="0"/>
      <w:autoSpaceDN w:val="0"/>
      <w:adjustRightInd w:val="0"/>
      <w:spacing w:before="0" w:beforeAutospacing="0" w:after="0" w:afterAutospacing="0"/>
      <w:ind w:right="0"/>
    </w:pPr>
    <w:rPr>
      <w:rFonts w:ascii="Calibri" w:eastAsia="Times New Roman" w:hAnsi="Calibri" w:cs="Calibri"/>
      <w:color w:val="000000"/>
      <w:sz w:val="24"/>
      <w:szCs w:val="24"/>
      <w:lang w:val="es-A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s.wikipedia.org/wiki/Portal:Isra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a.gov.il/MFA/MFAES/Facts%20About%20Israel/HISTORIA/Pages/HISTORIA-%20El%20Estado%20de%20Israel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moia.gov.il/Spanish/FeelingIsrael/AboutIsrael/Pages/default.aspx" TargetMode="External"/><Relationship Id="rId28" Type="http://schemas.microsoft.com/office/2011/relationships/people" Target="people.xml"/><Relationship Id="rId10" Type="http://schemas.openxmlformats.org/officeDocument/2006/relationships/hyperlink" Target="http://www.olim-beyahad.org.i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F617D-0952-42D7-8FD7-06A3162A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2018-02-16T19:32:00Z</dcterms:created>
  <dcterms:modified xsi:type="dcterms:W3CDTF">2018-02-16T19:32:00Z</dcterms:modified>
</cp:coreProperties>
</file>