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0D" w:rsidRPr="002B2D62" w:rsidRDefault="0094774C" w:rsidP="002B2D62">
      <w:pPr>
        <w:rPr>
          <w:rFonts w:ascii="Franklin Gothic Book" w:hAnsi="Franklin Gothic Book"/>
          <w:color w:val="173472"/>
          <w:sz w:val="40"/>
          <w:szCs w:val="40"/>
          <w:lang w:val="es-AR"/>
        </w:rPr>
      </w:pPr>
      <w:r>
        <w:rPr>
          <w:rFonts w:ascii="Franklin Gothic Book" w:hAnsi="Franklin Gothic Book"/>
          <w:color w:val="173472"/>
          <w:sz w:val="40"/>
          <w:szCs w:val="40"/>
          <w:lang w:val="es-AR"/>
        </w:rPr>
        <w:t>Procesos y acuerdos de paz</w:t>
      </w:r>
    </w:p>
    <w:p w:rsidR="009D775F" w:rsidRPr="009D775F" w:rsidRDefault="009D775F" w:rsidP="009D775F">
      <w:pPr>
        <w:spacing w:before="0" w:beforeAutospacing="0" w:after="0" w:afterAutospacing="0"/>
        <w:rPr>
          <w:rFonts w:ascii="FrnkGothITC Bk BT" w:hAnsi="FrnkGothITC Bk BT" w:cstheme="minorHAnsi"/>
          <w:b/>
          <w:bCs/>
          <w:sz w:val="26"/>
          <w:szCs w:val="26"/>
          <w:lang w:val="es-AR"/>
        </w:rPr>
      </w:pPr>
      <w:r w:rsidRPr="009D775F">
        <w:rPr>
          <w:rFonts w:ascii="FrnkGothITC Bk BT" w:hAnsi="FrnkGothITC Bk BT" w:cstheme="minorHAnsi"/>
          <w:b/>
          <w:bCs/>
          <w:sz w:val="26"/>
          <w:szCs w:val="26"/>
          <w:lang w:val="es-AR"/>
        </w:rPr>
        <w:t>Actividades</w:t>
      </w:r>
    </w:p>
    <w:p w:rsidR="009D775F" w:rsidRDefault="009D775F" w:rsidP="009D775F">
      <w:p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</w:p>
    <w:p w:rsidR="006B59A9" w:rsidRPr="006B59A9" w:rsidRDefault="006B59A9" w:rsidP="009D775F">
      <w:p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  <w:r w:rsidRPr="006B59A9">
        <w:rPr>
          <w:rFonts w:ascii="FrnkGothITC Bk BT" w:hAnsi="FrnkGothITC Bk BT" w:cstheme="minorHAnsi"/>
          <w:bCs/>
          <w:lang w:val="es-AR"/>
        </w:rPr>
        <w:t xml:space="preserve">En sus primeros 70 años de existencia, el Estado de Israel ha atravesado diversos procesos diplomáticos y ha firmado diversos tratados con el objeto de lograr un cese de hostilidades y la paz con sus vecinos. </w:t>
      </w:r>
    </w:p>
    <w:p w:rsidR="006B59A9" w:rsidRPr="006B59A9" w:rsidRDefault="006B59A9" w:rsidP="006B59A9">
      <w:pPr>
        <w:pStyle w:val="Prrafodelista"/>
        <w:numPr>
          <w:ilvl w:val="0"/>
          <w:numId w:val="26"/>
        </w:numPr>
        <w:rPr>
          <w:rFonts w:ascii="FrnkGothITC Bk BT" w:hAnsi="FrnkGothITC Bk BT" w:cstheme="minorHAnsi"/>
          <w:bCs/>
          <w:lang w:val="es-AR"/>
        </w:rPr>
      </w:pPr>
      <w:r w:rsidRPr="006B59A9">
        <w:rPr>
          <w:rFonts w:ascii="FrnkGothITC Bk BT" w:hAnsi="FrnkGothITC Bk BT" w:cstheme="minorHAnsi"/>
          <w:bCs/>
          <w:lang w:val="es-AR"/>
        </w:rPr>
        <w:t xml:space="preserve">Busquen información sobre estos tratados y completen la siguiente tabla:   </w:t>
      </w:r>
      <w:r w:rsidRPr="006B59A9">
        <w:rPr>
          <w:rFonts w:ascii="FrnkGothITC Bk BT" w:hAnsi="FrnkGothITC Bk BT" w:cstheme="minorHAnsi"/>
          <w:bCs/>
          <w:lang w:val="es-AR"/>
        </w:rPr>
        <w:br/>
      </w:r>
      <w:r w:rsidRPr="006B59A9">
        <w:rPr>
          <w:rFonts w:ascii="FrnkGothITC Bk BT" w:hAnsi="FrnkGothITC Bk BT" w:cstheme="minorHAnsi"/>
          <w:sz w:val="18"/>
          <w:szCs w:val="18"/>
          <w:lang w:val="es-AR"/>
        </w:rPr>
        <w:t>Nota: al final del documento encontrarán fuentes sugeridas para recabar información.</w:t>
      </w:r>
      <w:r w:rsidRPr="006B59A9">
        <w:rPr>
          <w:rFonts w:ascii="FrnkGothITC Bk BT" w:hAnsi="FrnkGothITC Bk BT" w:cstheme="minorHAnsi"/>
          <w:bCs/>
          <w:lang w:val="es-AR"/>
        </w:rPr>
        <w:t xml:space="preserve"> </w:t>
      </w:r>
    </w:p>
    <w:tbl>
      <w:tblPr>
        <w:tblStyle w:val="Tablaconcuadrcula"/>
        <w:tblW w:w="0" w:type="auto"/>
        <w:tblInd w:w="534" w:type="dxa"/>
        <w:tblBorders>
          <w:top w:val="single" w:sz="4" w:space="0" w:color="481F67"/>
          <w:left w:val="single" w:sz="4" w:space="0" w:color="481F67"/>
          <w:bottom w:val="single" w:sz="4" w:space="0" w:color="481F67"/>
          <w:right w:val="single" w:sz="4" w:space="0" w:color="481F67"/>
          <w:insideH w:val="single" w:sz="4" w:space="0" w:color="481F67"/>
          <w:insideV w:val="single" w:sz="4" w:space="0" w:color="481F67"/>
        </w:tblBorders>
        <w:tblLook w:val="04A0"/>
      </w:tblPr>
      <w:tblGrid>
        <w:gridCol w:w="2474"/>
        <w:gridCol w:w="1920"/>
        <w:gridCol w:w="2268"/>
        <w:gridCol w:w="1595"/>
        <w:gridCol w:w="1743"/>
      </w:tblGrid>
      <w:tr w:rsidR="006B59A9" w:rsidRPr="00E303DF" w:rsidTr="004F3AEE">
        <w:trPr>
          <w:trHeight w:val="513"/>
        </w:trPr>
        <w:tc>
          <w:tcPr>
            <w:tcW w:w="2474" w:type="dxa"/>
            <w:tcBorders>
              <w:bottom w:val="single" w:sz="4" w:space="0" w:color="auto"/>
            </w:tcBorders>
            <w:shd w:val="clear" w:color="auto" w:fill="7030A0"/>
          </w:tcPr>
          <w:p w:rsidR="006B59A9" w:rsidRPr="004F3AEE" w:rsidRDefault="006B59A9" w:rsidP="006B59A9">
            <w:pPr>
              <w:pStyle w:val="NormalWeb"/>
              <w:spacing w:beforeAutospacing="0" w:afterAutospacing="0"/>
              <w:ind w:right="55"/>
              <w:rPr>
                <w:rFonts w:ascii="FrnkGothITC Bk BT" w:hAnsi="FrnkGothITC Bk BT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6B59A9" w:rsidRPr="004F3AEE" w:rsidRDefault="006B59A9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481F67"/>
          </w:tcPr>
          <w:p w:rsidR="004F3AEE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6B59A9" w:rsidRPr="004F3AEE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theme="minorHAnsi"/>
                <w:b/>
                <w:color w:val="FFFFFF" w:themeColor="background1"/>
                <w:sz w:val="20"/>
                <w:szCs w:val="20"/>
              </w:rPr>
            </w:pPr>
            <w:r w:rsidRPr="004F3AEE"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  <w:t xml:space="preserve">Líderes firmantes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7030A0"/>
          </w:tcPr>
          <w:p w:rsidR="004F3AEE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6B59A9" w:rsidRPr="004F3AEE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/>
                <w:b/>
                <w:bCs/>
                <w:color w:val="FFFFFF" w:themeColor="background1"/>
                <w:sz w:val="20"/>
                <w:szCs w:val="20"/>
              </w:rPr>
            </w:pPr>
            <w:r w:rsidRPr="004F3AEE"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  <w:t>País neutral garante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481F67"/>
          </w:tcPr>
          <w:p w:rsidR="004F3AEE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6B59A9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F3AEE"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  <w:t>Compromiso</w:t>
            </w:r>
          </w:p>
          <w:p w:rsidR="004F3AEE" w:rsidRPr="004F3AEE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7030A0"/>
          </w:tcPr>
          <w:p w:rsidR="004F3AEE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6B59A9" w:rsidRPr="004F3AEE" w:rsidRDefault="004F3AEE" w:rsidP="00E303DF">
            <w:pPr>
              <w:pStyle w:val="NormalWeb"/>
              <w:spacing w:beforeAutospacing="0" w:afterAutospacing="0"/>
              <w:ind w:right="55"/>
              <w:jc w:val="center"/>
              <w:rPr>
                <w:rFonts w:ascii="FrnkGothITC Bk BT" w:hAnsi="FrnkGothITC Bk BT"/>
                <w:b/>
                <w:bCs/>
                <w:color w:val="FFFFFF" w:themeColor="background1"/>
                <w:sz w:val="20"/>
                <w:szCs w:val="20"/>
              </w:rPr>
            </w:pPr>
            <w:r w:rsidRPr="004F3AEE">
              <w:rPr>
                <w:rFonts w:ascii="FrnkGothITC Bk BT" w:hAnsi="FrnkGothITC Bk BT" w:cs="Arial"/>
                <w:b/>
                <w:bCs/>
                <w:color w:val="FFFFFF" w:themeColor="background1"/>
                <w:sz w:val="20"/>
                <w:szCs w:val="20"/>
              </w:rPr>
              <w:t>Consecuencias</w:t>
            </w:r>
          </w:p>
        </w:tc>
      </w:tr>
      <w:tr w:rsidR="006B59A9" w:rsidTr="004F3AE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="Arial"/>
                <w:b/>
                <w:bCs/>
                <w:sz w:val="20"/>
                <w:szCs w:val="20"/>
              </w:rPr>
            </w:pPr>
          </w:p>
          <w:p w:rsidR="004F3AEE" w:rsidRP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</w:rPr>
              <w:t xml:space="preserve">1978, </w:t>
            </w:r>
            <w:r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 xml:space="preserve">Camp </w:t>
            </w:r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 xml:space="preserve">David </w:t>
            </w:r>
          </w:p>
          <w:p w:rsidR="006B59A9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>Israel- Egipto</w:t>
            </w:r>
          </w:p>
          <w:p w:rsid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theme="minorHAnsi"/>
                <w:sz w:val="20"/>
                <w:szCs w:val="20"/>
              </w:rPr>
            </w:pPr>
          </w:p>
          <w:p w:rsid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theme="minorHAnsi"/>
                <w:sz w:val="20"/>
                <w:szCs w:val="20"/>
              </w:rPr>
            </w:pPr>
          </w:p>
          <w:p w:rsidR="004F3AEE" w:rsidRP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9" w:rsidRDefault="006B59A9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9" w:rsidRDefault="006B59A9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9" w:rsidRDefault="006B59A9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9" w:rsidRDefault="006B59A9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6B59A9" w:rsidTr="004F3AEE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AEE" w:rsidRDefault="004F3AEE" w:rsidP="004F3AEE">
            <w:pPr>
              <w:tabs>
                <w:tab w:val="left" w:pos="851"/>
              </w:tabs>
              <w:spacing w:beforeAutospacing="0" w:afterAutospacing="0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</w:p>
          <w:p w:rsidR="004F3AEE" w:rsidRPr="004F3AEE" w:rsidRDefault="004F3AEE" w:rsidP="004F3AEE">
            <w:pPr>
              <w:tabs>
                <w:tab w:val="left" w:pos="851"/>
              </w:tabs>
              <w:spacing w:beforeAutospacing="0" w:afterAutospacing="0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>1993, Oslo</w:t>
            </w:r>
          </w:p>
          <w:p w:rsidR="006B59A9" w:rsidRDefault="004F3AEE" w:rsidP="004F3AEE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0"/>
                <w:szCs w:val="20"/>
              </w:rPr>
            </w:pPr>
            <w:r>
              <w:rPr>
                <w:rFonts w:ascii="FrnkGothITC Bk BT" w:hAnsi="FrnkGothITC Bk BT" w:cstheme="minorHAnsi"/>
                <w:b/>
                <w:bCs/>
                <w:sz w:val="20"/>
                <w:szCs w:val="20"/>
              </w:rPr>
              <w:t xml:space="preserve"> Israel</w:t>
            </w:r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</w:rPr>
              <w:t xml:space="preserve">-OLP </w:t>
            </w:r>
            <w:r w:rsidRPr="004F3AEE">
              <w:rPr>
                <w:rFonts w:ascii="FrnkGothITC Bk BT" w:hAnsi="FrnkGothITC Bk BT" w:cstheme="minorHAnsi"/>
                <w:sz w:val="20"/>
                <w:szCs w:val="20"/>
              </w:rPr>
              <w:t>(representante del pueblo palestino)</w:t>
            </w:r>
          </w:p>
          <w:p w:rsidR="004F3AEE" w:rsidRPr="004F3AEE" w:rsidRDefault="004F3AEE" w:rsidP="004F3AEE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9" w:rsidRDefault="006B59A9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9" w:rsidRDefault="006B59A9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9" w:rsidRDefault="006B59A9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9" w:rsidRDefault="006B59A9" w:rsidP="003F060D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6B59A9" w:rsidTr="004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2474" w:type="dxa"/>
          </w:tcPr>
          <w:p w:rsidR="004F3AEE" w:rsidRDefault="004F3AEE" w:rsidP="004F3AEE">
            <w:pPr>
              <w:tabs>
                <w:tab w:val="left" w:pos="851"/>
              </w:tabs>
              <w:spacing w:beforeAutospacing="0" w:afterAutospacing="0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</w:p>
          <w:p w:rsidR="004F3AEE" w:rsidRPr="004F3AEE" w:rsidRDefault="004F3AEE" w:rsidP="004F3AEE">
            <w:pPr>
              <w:tabs>
                <w:tab w:val="left" w:pos="851"/>
              </w:tabs>
              <w:spacing w:beforeAutospacing="0" w:afterAutospacing="0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 xml:space="preserve">1994, </w:t>
            </w:r>
            <w:proofErr w:type="spellStart"/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>Aravá</w:t>
            </w:r>
            <w:proofErr w:type="spellEnd"/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 xml:space="preserve"> </w:t>
            </w:r>
          </w:p>
          <w:p w:rsidR="004F3AEE" w:rsidRDefault="004F3AEE" w:rsidP="004F3AEE">
            <w:pPr>
              <w:tabs>
                <w:tab w:val="left" w:pos="851"/>
              </w:tabs>
              <w:spacing w:beforeAutospacing="0" w:afterAutospacing="0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 xml:space="preserve">Israel </w:t>
            </w:r>
            <w:r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>–</w:t>
            </w:r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>Jordania</w:t>
            </w:r>
          </w:p>
          <w:p w:rsidR="004F3AEE" w:rsidRDefault="004F3AEE" w:rsidP="004F3AEE">
            <w:pPr>
              <w:tabs>
                <w:tab w:val="left" w:pos="851"/>
              </w:tabs>
              <w:spacing w:beforeAutospacing="0" w:afterAutospacing="0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</w:p>
          <w:p w:rsidR="004F3AEE" w:rsidRDefault="004F3AEE" w:rsidP="004F3AEE">
            <w:pPr>
              <w:tabs>
                <w:tab w:val="left" w:pos="851"/>
              </w:tabs>
              <w:spacing w:beforeAutospacing="0" w:afterAutospacing="0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</w:p>
          <w:p w:rsidR="006B59A9" w:rsidRPr="004F3AEE" w:rsidRDefault="006B59A9" w:rsidP="004F3AEE">
            <w:pPr>
              <w:pStyle w:val="NormalWeb"/>
              <w:spacing w:beforeAutospacing="0" w:afterAutospacing="0"/>
              <w:ind w:right="55"/>
              <w:rPr>
                <w:rFonts w:ascii="FrnkGothITC Bk BT" w:hAnsi="FrnkGothITC Bk BT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6B59A9" w:rsidTr="004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2474" w:type="dxa"/>
          </w:tcPr>
          <w:p w:rsid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</w:pPr>
          </w:p>
          <w:p w:rsidR="004F3AEE" w:rsidRP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</w:pP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  <w:t xml:space="preserve">2000, </w:t>
            </w:r>
            <w:r w:rsidRPr="004F3AEE">
              <w:rPr>
                <w:rFonts w:ascii="FrnkGothITC Bk BT" w:hAnsi="FrnkGothITC Bk BT" w:cstheme="minorHAnsi"/>
                <w:b/>
                <w:bCs/>
                <w:sz w:val="20"/>
                <w:szCs w:val="20"/>
                <w:lang w:val="es-AR"/>
              </w:rPr>
              <w:t xml:space="preserve">Camp David </w:t>
            </w:r>
          </w:p>
          <w:p w:rsidR="006B59A9" w:rsidRDefault="004F3AEE" w:rsidP="004F3AEE">
            <w:pPr>
              <w:pStyle w:val="NormalWeb"/>
              <w:spacing w:beforeAutospacing="0" w:afterAutospacing="0"/>
              <w:ind w:right="55"/>
              <w:rPr>
                <w:rFonts w:ascii="FrnkGothITC Bk BT" w:hAnsi="FrnkGothITC Bk BT" w:cstheme="minorHAnsi"/>
                <w:sz w:val="20"/>
                <w:szCs w:val="20"/>
              </w:rPr>
            </w:pP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</w:rPr>
              <w:t>Israel-ANP</w:t>
            </w: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</w:rPr>
              <w:br/>
            </w:r>
            <w:r w:rsidRPr="004F3AEE">
              <w:rPr>
                <w:rFonts w:ascii="FrnkGothITC Bk BT" w:hAnsi="FrnkGothITC Bk BT" w:cstheme="minorHAnsi"/>
                <w:sz w:val="20"/>
                <w:szCs w:val="20"/>
              </w:rPr>
              <w:t>(representante del pueblo palestino)</w:t>
            </w:r>
          </w:p>
          <w:p w:rsidR="004F3AEE" w:rsidRPr="004F3AEE" w:rsidRDefault="004F3AEE" w:rsidP="004F3AEE">
            <w:pPr>
              <w:pStyle w:val="NormalWeb"/>
              <w:spacing w:beforeAutospacing="0" w:afterAutospacing="0"/>
              <w:ind w:right="55"/>
              <w:rPr>
                <w:rFonts w:ascii="FrnkGothITC Bk BT" w:hAnsi="FrnkGothITC Bk BT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6B59A9" w:rsidTr="004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4" w:type="dxa"/>
          </w:tcPr>
          <w:p w:rsid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</w:pPr>
          </w:p>
          <w:p w:rsidR="004F3AEE" w:rsidRP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</w:pP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  <w:t xml:space="preserve">2003, </w:t>
            </w:r>
            <w:proofErr w:type="spellStart"/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  <w:t>Aqba</w:t>
            </w:r>
            <w:proofErr w:type="spellEnd"/>
          </w:p>
          <w:p w:rsidR="006B59A9" w:rsidRDefault="004F3AEE" w:rsidP="004F3AEE">
            <w:pPr>
              <w:pStyle w:val="NormalWeb"/>
              <w:spacing w:beforeAutospacing="0" w:afterAutospacing="0"/>
              <w:ind w:right="55"/>
              <w:rPr>
                <w:rFonts w:ascii="FrnkGothITC Bk BT" w:hAnsi="FrnkGothITC Bk BT" w:cs="Arial"/>
                <w:b/>
                <w:bCs/>
                <w:sz w:val="20"/>
                <w:szCs w:val="20"/>
              </w:rPr>
            </w:pP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</w:rPr>
              <w:t>Israel-ANP</w:t>
            </w: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</w:rPr>
              <w:br/>
              <w:t>“Hoja de ruta”</w:t>
            </w:r>
          </w:p>
          <w:p w:rsidR="004F3AEE" w:rsidRDefault="004F3AEE" w:rsidP="004F3AEE">
            <w:pPr>
              <w:pStyle w:val="NormalWeb"/>
              <w:spacing w:beforeAutospacing="0" w:afterAutospacing="0"/>
              <w:ind w:right="55"/>
              <w:rPr>
                <w:rFonts w:ascii="FrnkGothITC Bk BT" w:hAnsi="FrnkGothITC Bk BT" w:cstheme="minorHAnsi"/>
                <w:sz w:val="20"/>
                <w:szCs w:val="20"/>
              </w:rPr>
            </w:pPr>
          </w:p>
          <w:p w:rsidR="004F3AEE" w:rsidRPr="004F3AEE" w:rsidRDefault="004F3AEE" w:rsidP="004F3AEE">
            <w:pPr>
              <w:pStyle w:val="NormalWeb"/>
              <w:spacing w:beforeAutospacing="0" w:afterAutospacing="0"/>
              <w:ind w:right="55"/>
              <w:rPr>
                <w:rFonts w:ascii="FrnkGothITC Bk BT" w:hAnsi="FrnkGothITC Bk BT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  <w:tc>
          <w:tcPr>
            <w:tcW w:w="1743" w:type="dxa"/>
          </w:tcPr>
          <w:p w:rsidR="006B59A9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2"/>
                <w:szCs w:val="22"/>
              </w:rPr>
            </w:pPr>
          </w:p>
        </w:tc>
      </w:tr>
      <w:tr w:rsidR="006B59A9" w:rsidTr="004F3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74" w:type="dxa"/>
          </w:tcPr>
          <w:p w:rsid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</w:pPr>
          </w:p>
          <w:p w:rsidR="004F3AEE" w:rsidRPr="004F3AEE" w:rsidRDefault="004F3AEE" w:rsidP="004F3AEE">
            <w:pPr>
              <w:pBdr>
                <w:bottom w:val="single" w:sz="4" w:space="1" w:color="FFFFFF"/>
              </w:pBdr>
              <w:spacing w:beforeAutospacing="0" w:afterAutospacing="0"/>
              <w:ind w:right="-83"/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</w:pP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  <w:lang w:val="es-AR"/>
              </w:rPr>
              <w:t>2005-Gaza</w:t>
            </w:r>
          </w:p>
          <w:p w:rsidR="004F3AEE" w:rsidRDefault="004F3AEE" w:rsidP="004F3AEE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="Arial"/>
                <w:b/>
                <w:bCs/>
                <w:sz w:val="20"/>
                <w:szCs w:val="20"/>
              </w:rPr>
            </w:pP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</w:rPr>
              <w:t xml:space="preserve">Israel </w:t>
            </w:r>
            <w:r w:rsidRPr="004F3AEE">
              <w:rPr>
                <w:rFonts w:ascii="FrnkGothITC Bk BT" w:hAnsi="FrnkGothITC Bk BT" w:cs="Arial"/>
                <w:b/>
                <w:bCs/>
                <w:sz w:val="20"/>
                <w:szCs w:val="20"/>
              </w:rPr>
              <w:br/>
              <w:t>“Plan de Desconexión”</w:t>
            </w:r>
          </w:p>
          <w:p w:rsidR="004F3AEE" w:rsidRDefault="004F3AEE" w:rsidP="004F3AEE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="Arial"/>
                <w:b/>
                <w:bCs/>
                <w:sz w:val="20"/>
                <w:szCs w:val="20"/>
              </w:rPr>
            </w:pPr>
          </w:p>
          <w:p w:rsidR="004F3AEE" w:rsidRPr="004F3AEE" w:rsidRDefault="004F3AEE" w:rsidP="004F3AEE">
            <w:pPr>
              <w:pStyle w:val="NormalWeb"/>
              <w:spacing w:beforeAutospacing="0" w:afterAutospacing="0"/>
              <w:ind w:right="55"/>
              <w:jc w:val="both"/>
              <w:rPr>
                <w:rFonts w:ascii="FrnkGothITC Bk BT" w:hAnsi="FrnkGothITC Bk BT" w:cstheme="minorHAnsi"/>
                <w:sz w:val="20"/>
                <w:szCs w:val="20"/>
              </w:rPr>
            </w:pPr>
          </w:p>
        </w:tc>
        <w:tc>
          <w:tcPr>
            <w:tcW w:w="1920" w:type="dxa"/>
          </w:tcPr>
          <w:p w:rsidR="006B59A9" w:rsidRPr="00E303DF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2268" w:type="dxa"/>
          </w:tcPr>
          <w:p w:rsidR="006B59A9" w:rsidRPr="00E303DF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1595" w:type="dxa"/>
          </w:tcPr>
          <w:p w:rsidR="006B59A9" w:rsidRPr="00E303DF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anklin Gothic Book" w:hAnsi="Franklin Gothic Book" w:cstheme="minorHAnsi"/>
              </w:rPr>
            </w:pPr>
          </w:p>
        </w:tc>
        <w:tc>
          <w:tcPr>
            <w:tcW w:w="1743" w:type="dxa"/>
          </w:tcPr>
          <w:p w:rsidR="006B59A9" w:rsidRPr="00E303DF" w:rsidRDefault="006B59A9" w:rsidP="00A94602">
            <w:pPr>
              <w:pStyle w:val="NormalWeb"/>
              <w:spacing w:beforeAutospacing="0" w:afterAutospacing="0"/>
              <w:ind w:right="55"/>
              <w:jc w:val="both"/>
              <w:rPr>
                <w:rFonts w:ascii="Franklin Gothic Book" w:hAnsi="Franklin Gothic Book" w:cstheme="minorHAnsi"/>
              </w:rPr>
            </w:pPr>
          </w:p>
        </w:tc>
      </w:tr>
    </w:tbl>
    <w:p w:rsidR="009972B7" w:rsidRDefault="009972B7" w:rsidP="009D775F">
      <w:pPr>
        <w:tabs>
          <w:tab w:val="left" w:pos="1095"/>
        </w:tabs>
        <w:spacing w:before="0" w:beforeAutospacing="0"/>
        <w:rPr>
          <w:lang w:val="es-AR" w:eastAsia="es-AR" w:bidi="he-IL"/>
        </w:rPr>
      </w:pPr>
    </w:p>
    <w:p w:rsidR="00B9682A" w:rsidRDefault="00B9682A" w:rsidP="009D775F">
      <w:pPr>
        <w:tabs>
          <w:tab w:val="left" w:pos="1095"/>
        </w:tabs>
        <w:spacing w:before="0" w:beforeAutospacing="0"/>
        <w:rPr>
          <w:lang w:val="es-AR" w:eastAsia="es-AR" w:bidi="he-IL"/>
        </w:rPr>
      </w:pPr>
    </w:p>
    <w:p w:rsidR="00FB323C" w:rsidRDefault="00FB323C" w:rsidP="009D775F">
      <w:pPr>
        <w:pStyle w:val="Prrafodelista"/>
        <w:numPr>
          <w:ilvl w:val="0"/>
          <w:numId w:val="26"/>
        </w:numPr>
        <w:spacing w:before="0" w:beforeAutospacing="0" w:after="0" w:afterAutospacing="0" w:line="240" w:lineRule="auto"/>
        <w:ind w:left="714" w:hanging="357"/>
        <w:rPr>
          <w:rFonts w:ascii="FrnkGothITC Bk BT" w:hAnsi="FrnkGothITC Bk BT" w:cstheme="minorHAnsi"/>
          <w:bCs/>
          <w:lang w:val="es-AR"/>
        </w:rPr>
      </w:pPr>
      <w:r w:rsidRPr="00FB323C">
        <w:rPr>
          <w:rFonts w:ascii="FrnkGothITC Bk BT" w:hAnsi="FrnkGothITC Bk BT" w:cstheme="minorHAnsi"/>
          <w:bCs/>
          <w:lang w:val="es-AR"/>
        </w:rPr>
        <w:lastRenderedPageBreak/>
        <w:t xml:space="preserve">Extraigan conclusiones acerca de los “éxitos” y los “fracasos” de estos procesos. </w:t>
      </w:r>
    </w:p>
    <w:p w:rsidR="00662D6B" w:rsidRPr="00662D6B" w:rsidRDefault="00662D6B" w:rsidP="00662D6B">
      <w:p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</w:p>
    <w:p w:rsidR="00662D6B" w:rsidRPr="00662D6B" w:rsidRDefault="00662D6B" w:rsidP="00662D6B">
      <w:pPr>
        <w:spacing w:before="0" w:beforeAutospacing="0" w:after="0" w:afterAutospacing="0"/>
        <w:ind w:left="426"/>
        <w:rPr>
          <w:rFonts w:ascii="Times New Roman" w:hAnsi="Times New Roman" w:cs="Times New Roman"/>
        </w:rPr>
      </w:pPr>
      <w:bookmarkStart w:id="0" w:name="_GoBack"/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426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426"/>
        <w:rPr>
          <w:rFonts w:ascii="FrnkGothITC Bk BT" w:hAnsi="FrnkGothITC Bk BT"/>
          <w:b/>
          <w:bCs/>
          <w:sz w:val="24"/>
          <w:szCs w:val="24"/>
        </w:rPr>
      </w:pPr>
    </w:p>
    <w:p w:rsidR="00662D6B" w:rsidRPr="00662D6B" w:rsidRDefault="00662D6B" w:rsidP="00662D6B">
      <w:pPr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426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426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FB323C" w:rsidRDefault="00FB323C" w:rsidP="00FB323C">
      <w:p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</w:p>
    <w:p w:rsidR="00FB323C" w:rsidRDefault="00FB323C" w:rsidP="00FB323C">
      <w:p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</w:p>
    <w:p w:rsidR="00FB323C" w:rsidRDefault="00FB323C" w:rsidP="00FB323C">
      <w:pPr>
        <w:pStyle w:val="Prrafodelista"/>
        <w:numPr>
          <w:ilvl w:val="0"/>
          <w:numId w:val="26"/>
        </w:num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  <w:r w:rsidRPr="00FB323C">
        <w:rPr>
          <w:rFonts w:ascii="FrnkGothITC Bk BT" w:hAnsi="FrnkGothITC Bk BT" w:cstheme="minorHAnsi"/>
          <w:bCs/>
          <w:lang w:val="es-AR"/>
        </w:rPr>
        <w:t>Analicen el caso de la desconexión de Gaza: </w:t>
      </w:r>
    </w:p>
    <w:p w:rsidR="00662D6B" w:rsidRPr="00662D6B" w:rsidRDefault="00662D6B" w:rsidP="00662D6B">
      <w:p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</w:p>
    <w:p w:rsidR="00FB323C" w:rsidRDefault="00FB323C" w:rsidP="00FB323C">
      <w:pPr>
        <w:pStyle w:val="Prrafodelista"/>
        <w:numPr>
          <w:ilvl w:val="0"/>
          <w:numId w:val="29"/>
        </w:numPr>
        <w:spacing w:before="0" w:beforeAutospacing="0" w:after="0" w:afterAutospacing="0"/>
        <w:ind w:left="1134" w:right="0"/>
        <w:rPr>
          <w:rFonts w:ascii="FrnkGothITC Bk BT" w:hAnsi="FrnkGothITC Bk BT" w:cstheme="minorHAnsi"/>
          <w:lang w:val="es-AR"/>
        </w:rPr>
      </w:pPr>
      <w:r w:rsidRPr="00FB323C">
        <w:rPr>
          <w:rFonts w:ascii="FrnkGothITC Bk BT" w:hAnsi="FrnkGothITC Bk BT" w:cstheme="minorHAnsi"/>
          <w:lang w:val="es-AR"/>
        </w:rPr>
        <w:t>¿Cuáles fueron los motivos que dieron origen a la decisión de la "</w:t>
      </w:r>
      <w:proofErr w:type="spellStart"/>
      <w:r w:rsidRPr="00FB323C">
        <w:rPr>
          <w:rFonts w:ascii="FrnkGothITC Bk BT" w:hAnsi="FrnkGothITC Bk BT" w:cstheme="minorHAnsi"/>
          <w:lang w:val="es-AR"/>
        </w:rPr>
        <w:t>desconexion</w:t>
      </w:r>
      <w:proofErr w:type="spellEnd"/>
      <w:r w:rsidRPr="00FB323C">
        <w:rPr>
          <w:rFonts w:ascii="FrnkGothITC Bk BT" w:hAnsi="FrnkGothITC Bk BT" w:cstheme="minorHAnsi"/>
          <w:lang w:val="es-AR"/>
        </w:rPr>
        <w:t>"?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FrnkGothITC Bk BT" w:hAnsi="FrnkGothITC Bk BT"/>
          <w:b/>
          <w:bCs/>
          <w:sz w:val="24"/>
          <w:szCs w:val="24"/>
        </w:rPr>
      </w:pPr>
    </w:p>
    <w:p w:rsid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414" w:right="0"/>
        <w:rPr>
          <w:rFonts w:ascii="FrnkGothITC Bk BT" w:hAnsi="FrnkGothITC Bk BT" w:cstheme="minorHAnsi"/>
          <w:lang w:val="es-AR"/>
        </w:rPr>
      </w:pPr>
    </w:p>
    <w:p w:rsidR="00FB323C" w:rsidRDefault="00FB323C" w:rsidP="00FB323C">
      <w:pPr>
        <w:pStyle w:val="Prrafodelista"/>
        <w:numPr>
          <w:ilvl w:val="0"/>
          <w:numId w:val="29"/>
        </w:numPr>
        <w:spacing w:before="0" w:beforeAutospacing="0" w:after="0" w:afterAutospacing="0"/>
        <w:ind w:left="1134" w:right="0"/>
        <w:rPr>
          <w:rFonts w:ascii="FrnkGothITC Bk BT" w:hAnsi="FrnkGothITC Bk BT" w:cstheme="minorHAnsi"/>
          <w:lang w:val="es-AR"/>
        </w:rPr>
      </w:pPr>
      <w:r w:rsidRPr="00FB323C">
        <w:rPr>
          <w:rFonts w:ascii="FrnkGothITC Bk BT" w:hAnsi="FrnkGothITC Bk BT" w:cstheme="minorHAnsi"/>
          <w:lang w:val="es-AR"/>
        </w:rPr>
        <w:t>¿Cuáles fueron los pros y los contras analizados antes de su concreción? </w:t>
      </w:r>
    </w:p>
    <w:p w:rsidR="00662D6B" w:rsidRPr="00662D6B" w:rsidRDefault="00662D6B" w:rsidP="00662D6B">
      <w:pPr>
        <w:spacing w:before="0" w:beforeAutospacing="0" w:after="0" w:afterAutospacing="0"/>
        <w:ind w:left="414" w:right="0"/>
        <w:rPr>
          <w:rFonts w:ascii="FrnkGothITC Bk BT" w:hAnsi="FrnkGothITC Bk BT" w:cstheme="minorHAnsi"/>
          <w:lang w:val="es-AR"/>
        </w:rPr>
      </w:pPr>
    </w:p>
    <w:p w:rsid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FrnkGothITC Bk BT" w:hAnsi="FrnkGothITC Bk BT"/>
          <w:b/>
          <w:bCs/>
          <w:sz w:val="24"/>
          <w:szCs w:val="24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414" w:right="0"/>
        <w:rPr>
          <w:rFonts w:ascii="FrnkGothITC Bk BT" w:hAnsi="FrnkGothITC Bk BT" w:cstheme="minorHAnsi"/>
          <w:lang w:val="es-AR"/>
        </w:rPr>
      </w:pPr>
    </w:p>
    <w:p w:rsidR="00FB323C" w:rsidRDefault="00FB323C" w:rsidP="00FB323C">
      <w:pPr>
        <w:pStyle w:val="Prrafodelista"/>
        <w:numPr>
          <w:ilvl w:val="0"/>
          <w:numId w:val="29"/>
        </w:numPr>
        <w:spacing w:before="0" w:beforeAutospacing="0" w:after="0" w:afterAutospacing="0"/>
        <w:ind w:left="1134" w:right="0"/>
        <w:rPr>
          <w:rFonts w:ascii="FrnkGothITC Bk BT" w:hAnsi="FrnkGothITC Bk BT" w:cstheme="minorHAnsi"/>
          <w:lang w:val="es-AR"/>
        </w:rPr>
      </w:pPr>
      <w:r w:rsidRPr="00FB323C">
        <w:rPr>
          <w:rFonts w:ascii="FrnkGothITC Bk BT" w:hAnsi="FrnkGothITC Bk BT" w:cstheme="minorHAnsi"/>
          <w:lang w:val="es-AR"/>
        </w:rPr>
        <w:t>¿Cuál fue su costo político interno? </w:t>
      </w:r>
    </w:p>
    <w:p w:rsidR="00662D6B" w:rsidRPr="00662D6B" w:rsidRDefault="00662D6B" w:rsidP="00662D6B">
      <w:pPr>
        <w:spacing w:before="0" w:beforeAutospacing="0" w:after="0" w:afterAutospacing="0"/>
        <w:ind w:left="414" w:right="0"/>
        <w:rPr>
          <w:rFonts w:ascii="FrnkGothITC Bk BT" w:hAnsi="FrnkGothITC Bk BT" w:cstheme="minorHAnsi"/>
          <w:lang w:val="es-AR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FrnkGothITC Bk BT" w:hAnsi="FrnkGothITC Bk BT"/>
          <w:b/>
          <w:bCs/>
          <w:sz w:val="24"/>
          <w:szCs w:val="24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414" w:right="0"/>
        <w:rPr>
          <w:rFonts w:ascii="FrnkGothITC Bk BT" w:hAnsi="FrnkGothITC Bk BT" w:cstheme="minorHAnsi"/>
          <w:lang w:val="es-AR"/>
        </w:rPr>
      </w:pPr>
    </w:p>
    <w:p w:rsidR="00FB323C" w:rsidRDefault="00FB323C" w:rsidP="00FB323C">
      <w:pPr>
        <w:pStyle w:val="Prrafodelista"/>
        <w:numPr>
          <w:ilvl w:val="0"/>
          <w:numId w:val="29"/>
        </w:numPr>
        <w:spacing w:before="0" w:beforeAutospacing="0" w:after="0" w:afterAutospacing="0"/>
        <w:ind w:left="1134" w:right="0"/>
        <w:rPr>
          <w:rFonts w:ascii="FrnkGothITC Bk BT" w:hAnsi="FrnkGothITC Bk BT" w:cstheme="minorHAnsi"/>
          <w:lang w:val="es-AR"/>
        </w:rPr>
      </w:pPr>
      <w:r w:rsidRPr="00FB323C">
        <w:rPr>
          <w:rFonts w:ascii="FrnkGothITC Bk BT" w:hAnsi="FrnkGothITC Bk BT" w:cstheme="minorHAnsi"/>
          <w:lang w:val="es-AR"/>
        </w:rPr>
        <w:t>¿Cuáles fueron sus consecuencias esperadas y las no previstas?</w:t>
      </w:r>
    </w:p>
    <w:p w:rsidR="00662D6B" w:rsidRPr="00662D6B" w:rsidRDefault="00662D6B" w:rsidP="00662D6B">
      <w:pPr>
        <w:spacing w:before="0" w:beforeAutospacing="0" w:after="0" w:afterAutospacing="0"/>
        <w:ind w:left="414" w:right="0"/>
        <w:rPr>
          <w:rFonts w:ascii="FrnkGothITC Bk BT" w:hAnsi="FrnkGothITC Bk BT" w:cstheme="minorHAnsi"/>
          <w:lang w:val="es-AR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FrnkGothITC Bk BT" w:hAnsi="FrnkGothITC Bk BT"/>
          <w:b/>
          <w:bCs/>
          <w:sz w:val="24"/>
          <w:szCs w:val="24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FB323C" w:rsidRDefault="00FB323C" w:rsidP="00FB323C">
      <w:pPr>
        <w:pStyle w:val="Prrafodelista"/>
        <w:numPr>
          <w:ilvl w:val="0"/>
          <w:numId w:val="29"/>
        </w:numPr>
        <w:spacing w:before="0" w:beforeAutospacing="0" w:after="0" w:afterAutospacing="0"/>
        <w:ind w:left="1134" w:right="0"/>
        <w:rPr>
          <w:rFonts w:ascii="FrnkGothITC Bk BT" w:hAnsi="FrnkGothITC Bk BT" w:cstheme="minorHAnsi"/>
          <w:lang w:val="es-AR"/>
        </w:rPr>
      </w:pPr>
      <w:r w:rsidRPr="00FB323C">
        <w:rPr>
          <w:rFonts w:ascii="FrnkGothITC Bk BT" w:hAnsi="FrnkGothITC Bk BT" w:cstheme="minorHAnsi"/>
          <w:lang w:val="es-AR"/>
        </w:rPr>
        <w:t>¿Podemos decir que es "un caso excepcional"? Fundamenten. </w:t>
      </w:r>
    </w:p>
    <w:p w:rsidR="00662D6B" w:rsidRPr="00662D6B" w:rsidRDefault="00662D6B" w:rsidP="00662D6B">
      <w:pPr>
        <w:spacing w:before="0" w:beforeAutospacing="0" w:after="0" w:afterAutospacing="0"/>
        <w:ind w:left="414" w:right="0"/>
        <w:rPr>
          <w:rFonts w:ascii="FrnkGothITC Bk BT" w:hAnsi="FrnkGothITC Bk BT" w:cstheme="minorHAnsi"/>
          <w:lang w:val="es-AR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lastRenderedPageBreak/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FrnkGothITC Bk BT" w:hAnsi="FrnkGothITC Bk BT"/>
          <w:b/>
          <w:bCs/>
          <w:sz w:val="24"/>
          <w:szCs w:val="24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</w:p>
    <w:p w:rsidR="00662D6B" w:rsidRPr="00662D6B" w:rsidRDefault="00662D6B" w:rsidP="00662D6B">
      <w:pPr>
        <w:spacing w:before="0" w:beforeAutospacing="0" w:after="0" w:afterAutospacing="0"/>
        <w:ind w:left="1134"/>
        <w:rPr>
          <w:rFonts w:ascii="Times New Roman" w:hAnsi="Times New Roman" w:cs="Times New Roman"/>
        </w:rPr>
      </w:pPr>
      <w:r w:rsidRPr="00662D6B">
        <w:rPr>
          <w:rFonts w:ascii="Times New Roman" w:hAnsi="Times New Roman" w:cs="Times New Roman"/>
        </w:rPr>
        <w:t>.……………………………………………………………………………………………………………</w:t>
      </w:r>
    </w:p>
    <w:p w:rsidR="00662D6B" w:rsidRPr="00662D6B" w:rsidRDefault="00662D6B" w:rsidP="00662D6B">
      <w:pPr>
        <w:spacing w:before="0" w:beforeAutospacing="0" w:after="0" w:afterAutospacing="0"/>
        <w:ind w:left="1134" w:right="0"/>
        <w:rPr>
          <w:rFonts w:ascii="FrnkGothITC Bk BT" w:hAnsi="FrnkGothITC Bk BT" w:cstheme="minorHAnsi"/>
          <w:lang w:val="es-AR"/>
        </w:rPr>
      </w:pPr>
    </w:p>
    <w:bookmarkEnd w:id="0"/>
    <w:p w:rsidR="00FB323C" w:rsidRDefault="00FB323C" w:rsidP="00FB323C">
      <w:p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</w:p>
    <w:p w:rsidR="00FB323C" w:rsidRPr="00FB323C" w:rsidRDefault="00FB323C" w:rsidP="00FB323C">
      <w:pPr>
        <w:spacing w:before="0" w:beforeAutospacing="0" w:after="0" w:afterAutospacing="0"/>
        <w:rPr>
          <w:rFonts w:ascii="FrnkGothITC Bk BT" w:hAnsi="FrnkGothITC Bk BT" w:cstheme="minorHAnsi"/>
          <w:bCs/>
          <w:lang w:val="es-AR"/>
        </w:rPr>
      </w:pPr>
      <w:r w:rsidRPr="00FB323C">
        <w:rPr>
          <w:rFonts w:ascii="FrnkGothITC Bk BT" w:hAnsi="FrnkGothITC Bk BT" w:cstheme="minorHAnsi"/>
          <w:bCs/>
          <w:lang w:val="es-AR"/>
        </w:rPr>
        <w:t>Fuentes sugeridas para buscar información:</w:t>
      </w:r>
    </w:p>
    <w:p w:rsidR="00FB323C" w:rsidRPr="00FB323C" w:rsidRDefault="00F41F40" w:rsidP="00FB323C">
      <w:pPr>
        <w:pStyle w:val="Prrafodelista"/>
        <w:tabs>
          <w:tab w:val="left" w:pos="851"/>
        </w:tabs>
        <w:spacing w:before="0" w:beforeAutospacing="0" w:after="0" w:afterAutospacing="0" w:line="240" w:lineRule="auto"/>
        <w:ind w:left="0" w:right="0"/>
        <w:rPr>
          <w:rFonts w:ascii="FrnkGothITC Bk BT" w:hAnsi="FrnkGothITC Bk BT" w:cstheme="minorHAnsi"/>
          <w:color w:val="002060"/>
          <w:sz w:val="18"/>
          <w:szCs w:val="18"/>
          <w:lang w:val="es-AR"/>
        </w:rPr>
      </w:pPr>
      <w:hyperlink r:id="rId8" w:history="1">
        <w:r w:rsidR="00FB323C" w:rsidRPr="00FB323C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http://mfa.gov.il/MFA/AboutIsrael/Documents/the%20Quest%20for%20Peace.pdf</w:t>
        </w:r>
      </w:hyperlink>
    </w:p>
    <w:p w:rsidR="00FB323C" w:rsidRPr="00FB323C" w:rsidRDefault="00F41F40" w:rsidP="00FB323C">
      <w:pPr>
        <w:pStyle w:val="Prrafodelista"/>
        <w:tabs>
          <w:tab w:val="left" w:pos="851"/>
        </w:tabs>
        <w:spacing w:before="0" w:beforeAutospacing="0" w:after="0" w:afterAutospacing="0" w:line="240" w:lineRule="auto"/>
        <w:ind w:left="0" w:right="0"/>
        <w:rPr>
          <w:rFonts w:ascii="FrnkGothITC Bk BT" w:hAnsi="FrnkGothITC Bk BT" w:cstheme="minorHAnsi"/>
          <w:color w:val="002060"/>
          <w:sz w:val="18"/>
          <w:szCs w:val="18"/>
          <w:lang w:val="es-AR"/>
        </w:rPr>
      </w:pPr>
      <w:hyperlink r:id="rId9" w:history="1">
        <w:r w:rsidR="00FB323C" w:rsidRPr="00FB323C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http://mfa.gov.il/MFA_Graphics/MFA%20Gallery/Documents%20languages/LetterIsraelSp.pdf</w:t>
        </w:r>
      </w:hyperlink>
    </w:p>
    <w:p w:rsidR="00FB323C" w:rsidRPr="00FB323C" w:rsidRDefault="00F41F40" w:rsidP="00FB323C">
      <w:pPr>
        <w:pStyle w:val="Prrafodelista"/>
        <w:tabs>
          <w:tab w:val="left" w:pos="851"/>
        </w:tabs>
        <w:spacing w:before="0" w:beforeAutospacing="0" w:after="0" w:afterAutospacing="0" w:line="240" w:lineRule="auto"/>
        <w:ind w:left="0" w:right="0"/>
        <w:rPr>
          <w:rFonts w:ascii="FrnkGothITC Bk BT" w:hAnsi="FrnkGothITC Bk BT" w:cstheme="minorHAnsi"/>
          <w:color w:val="002060"/>
          <w:sz w:val="18"/>
          <w:szCs w:val="18"/>
          <w:lang w:val="es-AR"/>
        </w:rPr>
      </w:pPr>
      <w:hyperlink r:id="rId10" w:history="1">
        <w:r w:rsidR="00FB323C" w:rsidRPr="00FB323C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http://unidosxisrael.org/historia-procesos-de-paz/</w:t>
        </w:r>
      </w:hyperlink>
    </w:p>
    <w:p w:rsidR="00FB323C" w:rsidRPr="00FB323C" w:rsidRDefault="00F41F40" w:rsidP="00FB323C">
      <w:pPr>
        <w:pStyle w:val="Prrafodelista"/>
        <w:tabs>
          <w:tab w:val="left" w:pos="851"/>
        </w:tabs>
        <w:spacing w:before="0" w:beforeAutospacing="0" w:after="0" w:afterAutospacing="0" w:line="240" w:lineRule="auto"/>
        <w:ind w:left="0" w:right="0"/>
        <w:rPr>
          <w:rStyle w:val="Hipervnculo"/>
          <w:rFonts w:ascii="FrnkGothITC Bk BT" w:hAnsi="FrnkGothITC Bk BT" w:cstheme="minorHAnsi"/>
          <w:color w:val="002060"/>
          <w:u w:val="none"/>
          <w:lang w:val="es-AR"/>
        </w:rPr>
      </w:pPr>
      <w:hyperlink r:id="rId11" w:history="1">
        <w:r w:rsidR="00FB323C" w:rsidRPr="00FB323C">
          <w:rPr>
            <w:rStyle w:val="Hipervnculo"/>
            <w:rFonts w:ascii="FrnkGothITC Bk BT" w:hAnsi="FrnkGothITC Bk BT" w:cstheme="minorHAnsi"/>
            <w:color w:val="002060"/>
            <w:sz w:val="18"/>
            <w:szCs w:val="18"/>
            <w:u w:val="none"/>
            <w:lang w:val="es-AR"/>
          </w:rPr>
          <w:t>http://www.bbc.com/mundo/noticias/2015/10/151014_israel_palestina_preguntas_basicas_actualizacion_aw</w:t>
        </w:r>
      </w:hyperlink>
      <w:r w:rsidR="00FB323C" w:rsidRPr="00FB323C">
        <w:rPr>
          <w:rStyle w:val="Hipervnculo"/>
          <w:rFonts w:ascii="FrnkGothITC Bk BT" w:hAnsi="FrnkGothITC Bk BT" w:cstheme="minorHAnsi"/>
          <w:color w:val="002060"/>
          <w:u w:val="none"/>
          <w:lang w:val="es-AR"/>
        </w:rPr>
        <w:t xml:space="preserve"> </w:t>
      </w:r>
    </w:p>
    <w:p w:rsidR="00FB323C" w:rsidRPr="00FB323C" w:rsidRDefault="00FB323C" w:rsidP="00FB323C">
      <w:pPr>
        <w:pStyle w:val="Prrafodelista"/>
        <w:tabs>
          <w:tab w:val="left" w:pos="851"/>
        </w:tabs>
        <w:spacing w:before="0" w:beforeAutospacing="0" w:after="0" w:afterAutospacing="0" w:line="240" w:lineRule="auto"/>
        <w:ind w:left="0" w:right="0"/>
        <w:rPr>
          <w:rStyle w:val="Hipervnculo"/>
          <w:rFonts w:ascii="FrnkGothITC Bk BT" w:hAnsi="FrnkGothITC Bk BT" w:cstheme="minorHAnsi"/>
          <w:color w:val="auto"/>
          <w:sz w:val="18"/>
          <w:szCs w:val="18"/>
          <w:u w:val="none"/>
          <w:lang w:val="es-AR"/>
        </w:rPr>
      </w:pPr>
      <w:r w:rsidRPr="00FB323C">
        <w:rPr>
          <w:rStyle w:val="Hipervnculo"/>
          <w:rFonts w:ascii="FrnkGothITC Bk BT" w:hAnsi="FrnkGothITC Bk BT" w:cstheme="minorHAnsi"/>
          <w:color w:val="auto"/>
          <w:sz w:val="18"/>
          <w:szCs w:val="18"/>
          <w:u w:val="none"/>
          <w:lang w:val="es-AR"/>
        </w:rPr>
        <w:t>Consultado el 2 de enero de 2018.</w:t>
      </w:r>
    </w:p>
    <w:p w:rsidR="00FB323C" w:rsidRPr="00F4459C" w:rsidRDefault="00FB323C" w:rsidP="00FB323C">
      <w:pPr>
        <w:tabs>
          <w:tab w:val="left" w:pos="1095"/>
        </w:tabs>
        <w:spacing w:before="0" w:beforeAutospacing="0" w:after="0" w:afterAutospacing="0"/>
        <w:rPr>
          <w:lang w:val="es-AR" w:eastAsia="es-AR" w:bidi="he-IL"/>
        </w:rPr>
      </w:pPr>
    </w:p>
    <w:sectPr w:rsidR="00FB323C" w:rsidRPr="00F4459C" w:rsidSect="00D37DB1">
      <w:headerReference w:type="default" r:id="rId12"/>
      <w:footerReference w:type="default" r:id="rId13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42A" w:rsidRDefault="00F7442A" w:rsidP="00A27FE6">
      <w:pPr>
        <w:spacing w:after="0"/>
      </w:pPr>
      <w:r>
        <w:separator/>
      </w:r>
    </w:p>
  </w:endnote>
  <w:endnote w:type="continuationSeparator" w:id="0">
    <w:p w:rsidR="00F7442A" w:rsidRDefault="00F7442A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E37" w:rsidRDefault="00416E37" w:rsidP="00D37DB1">
    <w:pPr>
      <w:pStyle w:val="Piedepgina"/>
      <w:spacing w:after="100"/>
    </w:pPr>
  </w:p>
  <w:p w:rsidR="00416E37" w:rsidRDefault="00F41F40">
    <w:pPr>
      <w:pStyle w:val="Piedepgina"/>
    </w:pPr>
    <w:r>
      <w:rPr>
        <w:noProof/>
        <w:lang w:eastAsia="es-ES"/>
      </w:rPr>
      <w:pict>
        <v:rect id="_x0000_s4121" style="position:absolute;margin-left:262.85pt;margin-top:807.75pt;width:60pt;height:30.8pt;z-index:251674624;mso-position-horizontal-relative:left-margin-area;mso-position-vertical-relative:page" o:allowincell="f" stroked="f">
          <v:textbox style="mso-next-textbox:#_x0000_s4121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37DB1" w:rsidRPr="00416E37" w:rsidRDefault="00F41F40" w:rsidP="00D37DB1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D37DB1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B9682A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42A" w:rsidRDefault="00F7442A" w:rsidP="00A27FE6">
      <w:pPr>
        <w:spacing w:after="0"/>
      </w:pPr>
      <w:r>
        <w:separator/>
      </w:r>
    </w:p>
  </w:footnote>
  <w:footnote w:type="continuationSeparator" w:id="0">
    <w:p w:rsidR="00F7442A" w:rsidRDefault="00F7442A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8E3" w:rsidRDefault="00E128E3" w:rsidP="00F4459C">
    <w:pPr>
      <w:pStyle w:val="Encabezado"/>
      <w:spacing w:after="100"/>
      <w:jc w:val="center"/>
    </w:pPr>
  </w:p>
  <w:p w:rsidR="00E128E3" w:rsidRDefault="00E128E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76220"/>
    <w:multiLevelType w:val="hybridMultilevel"/>
    <w:tmpl w:val="5768C66C"/>
    <w:lvl w:ilvl="0" w:tplc="2C0A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9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C96C18"/>
    <w:multiLevelType w:val="hybridMultilevel"/>
    <w:tmpl w:val="2D2069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538E7"/>
    <w:multiLevelType w:val="hybridMultilevel"/>
    <w:tmpl w:val="DA188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9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D5B15"/>
    <w:multiLevelType w:val="hybridMultilevel"/>
    <w:tmpl w:val="045237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89C7F06"/>
    <w:multiLevelType w:val="hybridMultilevel"/>
    <w:tmpl w:val="94CA7FF2"/>
    <w:lvl w:ilvl="0" w:tplc="E5DCCB52">
      <w:start w:val="1"/>
      <w:numFmt w:val="decimal"/>
      <w:lvlText w:val="%1."/>
      <w:lvlJc w:val="left"/>
      <w:pPr>
        <w:ind w:left="3337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BA2F11"/>
    <w:multiLevelType w:val="hybridMultilevel"/>
    <w:tmpl w:val="D6DE9A34"/>
    <w:lvl w:ilvl="0" w:tplc="0C0A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5270A"/>
    <w:multiLevelType w:val="hybridMultilevel"/>
    <w:tmpl w:val="B7ACFB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2"/>
  </w:num>
  <w:num w:numId="4">
    <w:abstractNumId w:val="16"/>
  </w:num>
  <w:num w:numId="5">
    <w:abstractNumId w:val="18"/>
  </w:num>
  <w:num w:numId="6">
    <w:abstractNumId w:val="7"/>
  </w:num>
  <w:num w:numId="7">
    <w:abstractNumId w:val="5"/>
  </w:num>
  <w:num w:numId="8">
    <w:abstractNumId w:val="24"/>
  </w:num>
  <w:num w:numId="9">
    <w:abstractNumId w:val="3"/>
  </w:num>
  <w:num w:numId="10">
    <w:abstractNumId w:val="15"/>
  </w:num>
  <w:num w:numId="11">
    <w:abstractNumId w:val="19"/>
  </w:num>
  <w:num w:numId="12">
    <w:abstractNumId w:val="13"/>
  </w:num>
  <w:num w:numId="13">
    <w:abstractNumId w:val="9"/>
  </w:num>
  <w:num w:numId="14">
    <w:abstractNumId w:val="10"/>
  </w:num>
  <w:num w:numId="15">
    <w:abstractNumId w:val="14"/>
  </w:num>
  <w:num w:numId="16">
    <w:abstractNumId w:val="21"/>
  </w:num>
  <w:num w:numId="17">
    <w:abstractNumId w:val="8"/>
  </w:num>
  <w:num w:numId="18">
    <w:abstractNumId w:val="28"/>
  </w:num>
  <w:num w:numId="19">
    <w:abstractNumId w:val="2"/>
  </w:num>
  <w:num w:numId="20">
    <w:abstractNumId w:val="0"/>
  </w:num>
  <w:num w:numId="21">
    <w:abstractNumId w:val="1"/>
  </w:num>
  <w:num w:numId="22">
    <w:abstractNumId w:val="11"/>
  </w:num>
  <w:num w:numId="23">
    <w:abstractNumId w:val="26"/>
  </w:num>
  <w:num w:numId="24">
    <w:abstractNumId w:val="4"/>
  </w:num>
  <w:num w:numId="25">
    <w:abstractNumId w:val="23"/>
  </w:num>
  <w:num w:numId="26">
    <w:abstractNumId w:val="17"/>
  </w:num>
  <w:num w:numId="27">
    <w:abstractNumId w:val="6"/>
  </w:num>
  <w:num w:numId="28">
    <w:abstractNumId w:val="20"/>
  </w:num>
  <w:num w:numId="29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11C2F"/>
    <w:rsid w:val="000412C0"/>
    <w:rsid w:val="000467C4"/>
    <w:rsid w:val="00081B18"/>
    <w:rsid w:val="000A2AF0"/>
    <w:rsid w:val="001023E8"/>
    <w:rsid w:val="00104FA0"/>
    <w:rsid w:val="00141ED6"/>
    <w:rsid w:val="002060CB"/>
    <w:rsid w:val="002330E5"/>
    <w:rsid w:val="00242FAA"/>
    <w:rsid w:val="00282DD3"/>
    <w:rsid w:val="0029023F"/>
    <w:rsid w:val="002B2D62"/>
    <w:rsid w:val="002C69E7"/>
    <w:rsid w:val="002D18A3"/>
    <w:rsid w:val="002D6E95"/>
    <w:rsid w:val="00306E87"/>
    <w:rsid w:val="00317CD2"/>
    <w:rsid w:val="00361520"/>
    <w:rsid w:val="0038290D"/>
    <w:rsid w:val="0039028F"/>
    <w:rsid w:val="003D1DA8"/>
    <w:rsid w:val="003F060D"/>
    <w:rsid w:val="004075C3"/>
    <w:rsid w:val="00416E37"/>
    <w:rsid w:val="0042612E"/>
    <w:rsid w:val="00440900"/>
    <w:rsid w:val="0049707A"/>
    <w:rsid w:val="004B5DD0"/>
    <w:rsid w:val="004F3AEE"/>
    <w:rsid w:val="00532448"/>
    <w:rsid w:val="00592318"/>
    <w:rsid w:val="00593E58"/>
    <w:rsid w:val="005A4B19"/>
    <w:rsid w:val="005C00DB"/>
    <w:rsid w:val="005C6950"/>
    <w:rsid w:val="00627F4C"/>
    <w:rsid w:val="006314BF"/>
    <w:rsid w:val="00662D6B"/>
    <w:rsid w:val="006B59A9"/>
    <w:rsid w:val="006E02DB"/>
    <w:rsid w:val="006E3F5B"/>
    <w:rsid w:val="006F0CDC"/>
    <w:rsid w:val="00700B49"/>
    <w:rsid w:val="00700D3D"/>
    <w:rsid w:val="007219BD"/>
    <w:rsid w:val="00745328"/>
    <w:rsid w:val="0077459C"/>
    <w:rsid w:val="007801A8"/>
    <w:rsid w:val="00784F80"/>
    <w:rsid w:val="007853C0"/>
    <w:rsid w:val="007D2E08"/>
    <w:rsid w:val="00824E28"/>
    <w:rsid w:val="00881165"/>
    <w:rsid w:val="008B3497"/>
    <w:rsid w:val="00926960"/>
    <w:rsid w:val="00931B27"/>
    <w:rsid w:val="0094774C"/>
    <w:rsid w:val="0096476E"/>
    <w:rsid w:val="00985A9E"/>
    <w:rsid w:val="009972B7"/>
    <w:rsid w:val="009C4F9C"/>
    <w:rsid w:val="009D775F"/>
    <w:rsid w:val="009F27F7"/>
    <w:rsid w:val="00A27D9D"/>
    <w:rsid w:val="00A27FE6"/>
    <w:rsid w:val="00A94E14"/>
    <w:rsid w:val="00AF01A2"/>
    <w:rsid w:val="00B02A4B"/>
    <w:rsid w:val="00B15F71"/>
    <w:rsid w:val="00B62F42"/>
    <w:rsid w:val="00B7635B"/>
    <w:rsid w:val="00B9682A"/>
    <w:rsid w:val="00BB5063"/>
    <w:rsid w:val="00BD31A6"/>
    <w:rsid w:val="00BE1837"/>
    <w:rsid w:val="00BE2512"/>
    <w:rsid w:val="00BE7E07"/>
    <w:rsid w:val="00C0378E"/>
    <w:rsid w:val="00C33B51"/>
    <w:rsid w:val="00C429E1"/>
    <w:rsid w:val="00CA264C"/>
    <w:rsid w:val="00CC41D3"/>
    <w:rsid w:val="00CF0AD6"/>
    <w:rsid w:val="00D01C82"/>
    <w:rsid w:val="00D31A23"/>
    <w:rsid w:val="00D37DB1"/>
    <w:rsid w:val="00D43FC6"/>
    <w:rsid w:val="00D6299B"/>
    <w:rsid w:val="00DF0139"/>
    <w:rsid w:val="00E128E3"/>
    <w:rsid w:val="00E303DF"/>
    <w:rsid w:val="00E539FC"/>
    <w:rsid w:val="00EA1A46"/>
    <w:rsid w:val="00EC0318"/>
    <w:rsid w:val="00EF2B1E"/>
    <w:rsid w:val="00F210EB"/>
    <w:rsid w:val="00F21205"/>
    <w:rsid w:val="00F41F40"/>
    <w:rsid w:val="00F4459C"/>
    <w:rsid w:val="00F7442A"/>
    <w:rsid w:val="00FA6AF3"/>
    <w:rsid w:val="00FB323C"/>
    <w:rsid w:val="00FB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3AE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a.gov.il/MFA/AboutIsrael/Documents/the%20Quest%20for%20Peace.pdf" TargetMode="External"/><Relationship Id="rId13" Type="http://schemas.openxmlformats.org/officeDocument/2006/relationships/footer" Target="footer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bc.com/mundo/noticias/2015/10/151014_israel_palestina_preguntas_basicas_actualizacion_a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http://unidosxisrael.org/historia-procesos-de-pa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a.gov.il/MFA_Graphics/MFA%20Gallery/Documents%20languages/LetterIsraelSp.pdf" TargetMode="External"/><Relationship Id="rId14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E3364-F860-41F1-913C-B587FEC9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2018-02-09T16:28:00Z</cp:lastPrinted>
  <dcterms:created xsi:type="dcterms:W3CDTF">2018-02-17T00:53:00Z</dcterms:created>
  <dcterms:modified xsi:type="dcterms:W3CDTF">2018-02-17T00:53:00Z</dcterms:modified>
</cp:coreProperties>
</file>